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pPr w:horzAnchor="page" w:tblpX="561" w:vertAnchor="page" w:tblpY="1356" w:leftFromText="180" w:topFromText="0" w:rightFromText="180" w:bottomFromText="0"/>
        <w:tblW w:w="15738" w:type="dxa"/>
        <w:tblInd w:w="10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337"/>
        <w:gridCol w:w="2801"/>
        <w:gridCol w:w="2535"/>
        <w:gridCol w:w="1781"/>
        <w:gridCol w:w="1284"/>
      </w:tblGrid>
      <w:tr>
        <w:tblPrEx/>
        <w:trPr>
          <w:trHeight w:val="315"/>
        </w:trPr>
        <w:tc>
          <w:tcPr>
            <w:tcW w:w="7337" w:type="dxa"/>
            <w:vAlign w:val="bottom"/>
            <w:textDirection w:val="lrTb"/>
            <w:noWrap w:val="false"/>
          </w:tcPr>
          <w:p>
            <w:pPr>
              <w:pStyle w:val="692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2801" w:type="dxa"/>
            <w:vAlign w:val="bottom"/>
            <w:textDirection w:val="lrTb"/>
            <w:noWrap w:val="false"/>
          </w:tcPr>
          <w:p>
            <w:pPr>
              <w:pStyle w:val="692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W w:w="4316" w:type="dxa"/>
            <w:textDirection w:val="lrTb"/>
            <w:noWrap w:val="false"/>
          </w:tcPr>
          <w:p>
            <w:pPr>
              <w:pStyle w:val="692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                   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Приложение 1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284" w:type="dxa"/>
            <w:vAlign w:val="bottom"/>
            <w:textDirection w:val="lrTb"/>
            <w:noWrap w:val="false"/>
          </w:tcPr>
          <w:p>
            <w:pPr>
              <w:pStyle w:val="692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W w:w="7337" w:type="dxa"/>
            <w:vAlign w:val="bottom"/>
            <w:textDirection w:val="lrTb"/>
            <w:noWrap w:val="false"/>
          </w:tcPr>
          <w:p>
            <w:pPr>
              <w:pStyle w:val="692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2801" w:type="dxa"/>
            <w:vAlign w:val="bottom"/>
            <w:textDirection w:val="lrTb"/>
            <w:noWrap w:val="false"/>
          </w:tcPr>
          <w:p>
            <w:pPr>
              <w:pStyle w:val="692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2535" w:type="dxa"/>
            <w:vAlign w:val="bottom"/>
            <w:textDirection w:val="lrTb"/>
            <w:noWrap w:val="false"/>
          </w:tcPr>
          <w:p>
            <w:pPr>
              <w:pStyle w:val="692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1781" w:type="dxa"/>
            <w:vAlign w:val="bottom"/>
            <w:textDirection w:val="lrTb"/>
            <w:noWrap w:val="false"/>
          </w:tcPr>
          <w:p>
            <w:pPr>
              <w:pStyle w:val="692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1284" w:type="dxa"/>
            <w:vAlign w:val="bottom"/>
            <w:textDirection w:val="lrTb"/>
            <w:noWrap w:val="false"/>
          </w:tcPr>
          <w:p>
            <w:pPr>
              <w:pStyle w:val="692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W w:w="7337" w:type="dxa"/>
            <w:vAlign w:val="bottom"/>
            <w:textDirection w:val="lrTb"/>
            <w:noWrap w:val="false"/>
          </w:tcPr>
          <w:p>
            <w:pPr>
              <w:pStyle w:val="692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2801" w:type="dxa"/>
            <w:vAlign w:val="bottom"/>
            <w:textDirection w:val="lrTb"/>
            <w:noWrap w:val="false"/>
          </w:tcPr>
          <w:p>
            <w:pPr>
              <w:pStyle w:val="692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W w:w="4316" w:type="dxa"/>
            <w:vAlign w:val="bottom"/>
            <w:textDirection w:val="lrTb"/>
            <w:noWrap w:val="false"/>
          </w:tcPr>
          <w:p>
            <w:pPr>
              <w:pStyle w:val="692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                   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УТВЕРЖДЕНЫ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284" w:type="dxa"/>
            <w:vAlign w:val="bottom"/>
            <w:textDirection w:val="lrTb"/>
            <w:noWrap w:val="false"/>
          </w:tcPr>
          <w:p>
            <w:pPr>
              <w:pStyle w:val="692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W w:w="7337" w:type="dxa"/>
            <w:vAlign w:val="bottom"/>
            <w:textDirection w:val="lrTb"/>
            <w:noWrap w:val="false"/>
          </w:tcPr>
          <w:p>
            <w:pPr>
              <w:pStyle w:val="692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2801" w:type="dxa"/>
            <w:vAlign w:val="bottom"/>
            <w:textDirection w:val="lrTb"/>
            <w:noWrap w:val="false"/>
          </w:tcPr>
          <w:p>
            <w:pPr>
              <w:pStyle w:val="692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2535" w:type="dxa"/>
            <w:vAlign w:val="bottom"/>
            <w:textDirection w:val="lrTb"/>
            <w:noWrap w:val="false"/>
          </w:tcPr>
          <w:p>
            <w:pPr>
              <w:pStyle w:val="692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1781" w:type="dxa"/>
            <w:vAlign w:val="bottom"/>
            <w:textDirection w:val="lrTb"/>
            <w:noWrap w:val="false"/>
          </w:tcPr>
          <w:p>
            <w:pPr>
              <w:pStyle w:val="692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1284" w:type="dxa"/>
            <w:vAlign w:val="bottom"/>
            <w:textDirection w:val="lrTb"/>
            <w:noWrap w:val="false"/>
          </w:tcPr>
          <w:p>
            <w:pPr>
              <w:pStyle w:val="692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W w:w="7337" w:type="dxa"/>
            <w:vAlign w:val="bottom"/>
            <w:textDirection w:val="lrTb"/>
            <w:noWrap w:val="false"/>
          </w:tcPr>
          <w:p>
            <w:pPr>
              <w:pStyle w:val="692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2801" w:type="dxa"/>
            <w:vAlign w:val="bottom"/>
            <w:textDirection w:val="lrTb"/>
            <w:noWrap w:val="false"/>
          </w:tcPr>
          <w:p>
            <w:pPr>
              <w:pStyle w:val="692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gridSpan w:val="3"/>
            <w:tcW w:w="5600" w:type="dxa"/>
            <w:vAlign w:val="bottom"/>
            <w:textDirection w:val="lrTb"/>
            <w:noWrap w:val="false"/>
          </w:tcPr>
          <w:p>
            <w:pPr>
              <w:pStyle w:val="692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                    р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ешением Думы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W w:w="7337" w:type="dxa"/>
            <w:vAlign w:val="bottom"/>
            <w:textDirection w:val="lrTb"/>
            <w:noWrap w:val="false"/>
          </w:tcPr>
          <w:p>
            <w:pPr>
              <w:pStyle w:val="692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2801" w:type="dxa"/>
            <w:vAlign w:val="bottom"/>
            <w:textDirection w:val="lrTb"/>
            <w:noWrap w:val="false"/>
          </w:tcPr>
          <w:p>
            <w:pPr>
              <w:pStyle w:val="692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gridSpan w:val="3"/>
            <w:tcW w:w="5600" w:type="dxa"/>
            <w:vAlign w:val="bottom"/>
            <w:textDirection w:val="lrTb"/>
            <w:noWrap w:val="false"/>
          </w:tcPr>
          <w:p>
            <w:pPr>
              <w:pStyle w:val="692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                   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Артемовского городского округа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W w:w="7337" w:type="dxa"/>
            <w:vAlign w:val="bottom"/>
            <w:textDirection w:val="lrTb"/>
            <w:noWrap w:val="false"/>
          </w:tcPr>
          <w:p>
            <w:pPr>
              <w:pStyle w:val="692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2801" w:type="dxa"/>
            <w:vAlign w:val="bottom"/>
            <w:textDirection w:val="lrTb"/>
            <w:noWrap w:val="false"/>
          </w:tcPr>
          <w:p>
            <w:pPr>
              <w:pStyle w:val="692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W w:w="4316" w:type="dxa"/>
            <w:vAlign w:val="bottom"/>
            <w:textDirection w:val="lrTb"/>
            <w:noWrap w:val="false"/>
          </w:tcPr>
          <w:p>
            <w:pPr>
              <w:pStyle w:val="692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        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от                             №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284" w:type="dxa"/>
            <w:textDirection w:val="lrTb"/>
            <w:noWrap w:val="false"/>
          </w:tcPr>
          <w:p>
            <w:pPr>
              <w:pStyle w:val="692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W w:w="7337" w:type="dxa"/>
            <w:vAlign w:val="bottom"/>
            <w:textDirection w:val="lrTb"/>
            <w:noWrap w:val="false"/>
          </w:tcPr>
          <w:p>
            <w:pPr>
              <w:pStyle w:val="692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801" w:type="dxa"/>
            <w:vAlign w:val="bottom"/>
            <w:textDirection w:val="lrTb"/>
            <w:noWrap w:val="false"/>
          </w:tcPr>
          <w:p>
            <w:pPr>
              <w:pStyle w:val="692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2535" w:type="dxa"/>
            <w:vAlign w:val="bottom"/>
            <w:textDirection w:val="lrTb"/>
            <w:noWrap w:val="false"/>
          </w:tcPr>
          <w:p>
            <w:pPr>
              <w:pStyle w:val="692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1781" w:type="dxa"/>
            <w:vAlign w:val="bottom"/>
            <w:textDirection w:val="lrTb"/>
            <w:noWrap w:val="false"/>
          </w:tcPr>
          <w:p>
            <w:pPr>
              <w:pStyle w:val="692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1284" w:type="dxa"/>
            <w:vAlign w:val="bottom"/>
            <w:textDirection w:val="lrTb"/>
            <w:noWrap w:val="false"/>
          </w:tcPr>
          <w:p>
            <w:pPr>
              <w:pStyle w:val="692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W w:w="7337" w:type="dxa"/>
            <w:vAlign w:val="bottom"/>
            <w:textDirection w:val="lrTb"/>
            <w:noWrap w:val="false"/>
          </w:tcPr>
          <w:p>
            <w:pPr>
              <w:pStyle w:val="692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2801" w:type="dxa"/>
            <w:textDirection w:val="lrTb"/>
            <w:noWrap w:val="false"/>
          </w:tcPr>
          <w:p>
            <w:pPr>
              <w:pStyle w:val="692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t xml:space="preserve">ДОХОДЫ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535" w:type="dxa"/>
            <w:textDirection w:val="lrTb"/>
            <w:noWrap w:val="false"/>
          </w:tcPr>
          <w:p>
            <w:pPr>
              <w:pStyle w:val="692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81" w:type="dxa"/>
            <w:textDirection w:val="lrTb"/>
            <w:noWrap w:val="false"/>
          </w:tcPr>
          <w:p>
            <w:pPr>
              <w:pStyle w:val="692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284" w:type="dxa"/>
            <w:textDirection w:val="lrTb"/>
            <w:noWrap w:val="false"/>
          </w:tcPr>
          <w:p>
            <w:pPr>
              <w:pStyle w:val="692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gridSpan w:val="5"/>
            <w:tcW w:w="15738" w:type="dxa"/>
            <w:textDirection w:val="lrTb"/>
            <w:noWrap w:val="false"/>
          </w:tcPr>
          <w:p>
            <w:pPr>
              <w:pStyle w:val="692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t xml:space="preserve">бюджета Артемовского городского округа по кодам классификации доходов бюджета за 2025 год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gridSpan w:val="5"/>
            <w:tcW w:w="15738" w:type="dxa"/>
            <w:textDirection w:val="lrTb"/>
            <w:noWrap w:val="false"/>
          </w:tcPr>
          <w:p>
            <w:pPr>
              <w:pStyle w:val="692"/>
              <w:jc w:val="right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(рублей)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</w:tbl>
    <w:p>
      <w:pPr>
        <w:spacing w:before="0" w:after="0" w:afterAutospacing="0" w:line="276" w:lineRule="auto"/>
      </w:pPr>
      <w:r/>
      <w:r/>
    </w:p>
    <w:tbl>
      <w:tblPr>
        <w:tblStyle w:val="819"/>
        <w:tblW w:w="15678" w:type="dxa"/>
        <w:tblInd w:w="51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669"/>
        <w:gridCol w:w="2722"/>
        <w:gridCol w:w="2005"/>
        <w:gridCol w:w="2044"/>
        <w:gridCol w:w="1238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ind w:left="0" w:firstLine="0"/>
              <w:jc w:val="center"/>
              <w:spacing w:before="0" w:after="0" w:afterAutospacing="0" w:line="240" w:lineRule="auto"/>
              <w:outlineLvl w:val="3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Наименование БК доходов (с учетом группировки)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ind w:left="0" w:firstLine="0"/>
              <w:jc w:val="center"/>
              <w:spacing w:before="0" w:after="0" w:afterAutospacing="0" w:line="240" w:lineRule="auto"/>
              <w:outlineLvl w:val="3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Код БК доходов (с учетом группировки)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ind w:left="0" w:firstLine="0"/>
              <w:jc w:val="center"/>
              <w:spacing w:before="0" w:after="0" w:afterAutospacing="0" w:line="240" w:lineRule="auto"/>
              <w:outlineLvl w:val="3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План (доходы)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ind w:left="0" w:firstLine="0"/>
              <w:jc w:val="center"/>
              <w:spacing w:before="0" w:after="0" w:afterAutospacing="0" w:line="240" w:lineRule="auto"/>
              <w:outlineLvl w:val="3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Поступление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ind w:left="0" w:firstLine="0"/>
              <w:jc w:val="center"/>
              <w:spacing w:before="0" w:after="0" w:afterAutospacing="0" w:line="240" w:lineRule="auto"/>
              <w:tabs>
                <w:tab w:val="clear" w:pos="708" w:leader="none"/>
                <w:tab w:val="left" w:pos="992" w:leader="none"/>
              </w:tabs>
              <w:outlineLvl w:val="3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Процент исполнения</w:t>
            </w:r>
            <w:r/>
          </w:p>
        </w:tc>
      </w:tr>
    </w:tbl>
    <w:tbl>
      <w:tblPr>
        <w:tblStyle w:val="819"/>
        <w:tblW w:w="15678" w:type="dxa"/>
        <w:tblInd w:w="51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669"/>
        <w:gridCol w:w="2722"/>
        <w:gridCol w:w="2005"/>
        <w:gridCol w:w="2044"/>
        <w:gridCol w:w="1238"/>
      </w:tblGrid>
      <w:tr>
        <w:tblPrEx/>
        <w:trPr>
          <w:trHeight w:val="23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69" w:type="dxa"/>
            <w:vAlign w:val="center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center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22" w:type="dxa"/>
            <w:vAlign w:val="center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center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5" w:type="dxa"/>
            <w:vAlign w:val="center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center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44" w:type="dxa"/>
            <w:vAlign w:val="center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center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trike w:val="0"/>
                <w:color w:val="000000"/>
                <w:sz w:val="20"/>
                <w:szCs w:val="20"/>
                <w:u w:val="none"/>
              </w:rPr>
              <w:t xml:space="preserve">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38" w:type="dxa"/>
            <w:vAlign w:val="center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center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5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НАЛОГОВЫЕ И НЕНАЛОГОВЫЕ ДОХОДЫ</w:t>
            </w:r>
            <w:r/>
          </w:p>
        </w:tc>
        <w:tc>
          <w:tcPr>
            <w:tcBorders>
              <w:top w:val="singl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00010000000000000000</w:t>
            </w:r>
            <w:r/>
          </w:p>
        </w:tc>
        <w:tc>
          <w:tcPr>
            <w:tcBorders>
              <w:top w:val="singl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3 798 080 328,74</w:t>
            </w:r>
            <w:r/>
          </w:p>
        </w:tc>
        <w:tc>
          <w:tcPr>
            <w:tcBorders>
              <w:top w:val="singl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3 806 303 927,67</w:t>
            </w:r>
            <w:r/>
          </w:p>
        </w:tc>
        <w:tc>
          <w:tcPr>
            <w:tcBorders>
              <w:top w:val="singl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100,22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НАЛОГИ НА ПРИБЫЛЬ, ДОХОДЫ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00010100000000000000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2 455 848 000,00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2 443 975 155,47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99,52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Налог на доходы физических лиц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00010102000010000110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2 455 848 000,00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2 443 975 155,47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99,52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Налог на доходы физических лиц с дохо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00010102010010000110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</w:rPr>
              <w:t xml:space="preserve">1 538 453 000,00</w:t>
            </w:r>
            <w:r/>
          </w:p>
        </w:tc>
        <w:tc>
          <w:tcPr>
            <w:tcBorders>
              <w:top w:val="singl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</w:rPr>
              <w:t xml:space="preserve">1 606 181 035,08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Mar>
              <w:left w:w="108" w:type="dxa"/>
              <w:top w:w="0" w:type="dxa"/>
              <w:right w:w="51" w:type="dxa"/>
              <w:bottom w:w="0" w:type="dxa"/>
            </w:tcMar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104,40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vMerge w:val="restart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Налог на доходы физических лиц с дохо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vMerge w:val="restart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18210102010010000110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vMerge w:val="restart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1 538 453 000,00</w:t>
            </w:r>
            <w:r/>
          </w:p>
        </w:tc>
        <w:tc>
          <w:tcPr>
            <w:tcBorders>
              <w:top w:val="singl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vMerge w:val="restart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1 606 181 035,08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vMerge w:val="restart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104,40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статьями 227, 227.1 и 228 Налогового кодекса Российской Федерации, а также доходов от долевого участия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сяч рублей за налоговые периоды после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r>
          </w:p>
          <w:p>
            <w:pPr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keepLines w:val="0"/>
              <w:keepNext w:val="0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ходов от долевого участия в организации, полученных физическим лицом, не являющимся налоговым резидентом Российской Федерации, в виде дивидендов (сумма платежа (перерасчеты, недоимка и задолженность по соответствующему платежу, в том числе по отмененному))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18210102010011000110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1 606 172 632,55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keepLines w:val="0"/>
              <w:keepNext w:val="0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ходов от долевого участия в организации, полученных физическим лицом, не являющимся налоговым резидентом Российской Федерации, в виде дивидендов (суммы денежных взысканий (штрафов) по соответствующему платежу согласно законодательству Российской Федерации)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18210102010013000110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8 402,53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Налог на доходы физических лиц с доходов, полученных от осуществл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тьей 227 Налогового кодекса Российской Федерации (в части суммы налога, не превышающей 650 тысяч рублей за налоговые периоды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r>
          </w:p>
          <w:p>
            <w:pPr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до 1 января 2025 года, а также в части суммы налога, не превышающей 312 тысяч рублей за налоговые периоды после 1 января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2025 года)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00010102020010000110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8 072 000,00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6 998 329,72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86,70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Налог на доходы физических лиц с доходов, полученных от осуществл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тьей 227 Налогового кодекса Российской Федерации (в части суммы налога, не превышающей 650 тысяч рублей за налоговые периоды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r>
          </w:p>
          <w:p>
            <w:pPr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до 1 января 2025 года, а также в части суммы налога, не превышающей 312 тысяч рублей за налоговые периоды после 1 января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2025 года)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18210102020010000110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8 072 000,00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6 998 329,72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86,70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говые периоды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r>
          </w:p>
          <w:p>
            <w:pPr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до 1 января 2025 года, а также в части суммы налога, не превышающей 312 тысяч рублей за налоговые периоды после 1 января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2025 года) (сумма платежа (перерасчеты, недоимка и задолженность по соответствующему платежу, в том числе по отмененному))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18210102020011000110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6 950 667,25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овые периоды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r>
          </w:p>
          <w:p>
            <w:pPr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до 1 января 2025 года, а также в части суммы налога, не превышающей 312 тысяч рублей за налоговые периоды после 1 января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2025 года) (суммы денежных взысканий (штрафов) по соответствующему платежу согласно законодательству Российской Федерации)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18210102020013000110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47 662,47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Налог на доходы физич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хся частной практикой в соответствии со статьей 227 Налогового кодекса Российской Федерации (в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00010102021010000110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2 000 000,00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1 216 424,33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60,82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Налог на доходы физич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хся частной практикой в соответствии со статьей 227 Налогового кодекса Российской Федерации (в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18210102021010000110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2 000 000,00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1 216 424,33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60,82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а, превышающей 312 тысяч рублей, относящейся к части налоговой базы, превышающей 2,4 миллиона рублей и составляющей не более 5 миллионов рублей) (сумма платежа (перерасчеты, недоимка и задолженность по соответствующему платежу, в том числе по отмененному))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18210102021011000110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1 216 424,33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Налог на доходы физиче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ся частной практикой в соответствии со статьей 227 Налогового кодекса Российской Федерации (в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00010102022010000110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8 000 000,00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3 790 706,31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47,38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Налог на доходы физиче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ся частной практикой в соответствии со статьей 227 Налогового кодекса Российской Федерации (в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18210102022010000110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8 000 000,00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3 790 706,31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47,38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, превышающей 702 тысячи рублей, относящейся к части налоговой базы, превышающей 5 миллионов рублей и составляющей не более 20 миллионов рублей) (сумма платежа (перерасчеты, недоимка и задолженность по соответствующему платежу, в том числе по отмененному))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18210102022011000110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3 790 706,31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Налог на доходы физически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частной практикой в соответствии со статьей 227 Налогового кодекса Российской Федерации (в части суммы налога, превышающей 3 402 тысячи рублей, относящейся к части налоговой базы, превышающей 20 миллионов рублей и составляющей не более 50 миллионов рублей)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00010102023010000110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5 798 000,00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5 192 595,65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89,56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Налог на доходы физически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частной практикой в соответствии со статьей 227 Налогового кодекса Российской Федерации (в части суммы налога, превышающей 3 402 тысячи рублей, относящейся к части налоговой базы, превышающей 20 миллионов рублей и составляющей не более 50 миллионов рублей)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18210102023010000110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5 798 000,00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5 192 595,65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89,56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ревышающей 3 402 тысячи рублей, относящейся к части налоговой базы, превышающей 20 миллионов рублей и составляющей не более 50 миллионов рублей) (сумма платежа (перерасчеты, недоимка и задолженность по соответствующему платежу, в том числе по отмененному))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18210102023011000110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5 192 595,65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9 402 тысячи рублей, относящейся к части налоговой базы, превышающей 50 миллионов рублей)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00010102024010000110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10 000 000,00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8 995 881,52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89,96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9 402 тысячи рублей, относящейся к части налоговой базы, превышающей 50 миллионов рублей)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18210102024010000110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10 000 000,00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8 995 881,52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89,96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Налог на доходы физических лиц с доходов, полученных от осуществления деятельности физическими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оссийской Федерации (в части суммы налога, превышающей 9 402 тысячи рублей, относящейся к части налоговой базы, превышающей 50 миллионов рублей) (сумма платежа (перерасчеты, недоимка и задолженность по соответствующему платежу, в том числе по отмененному))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18210102024011000110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8 995 881,52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зидентом Российской Федерации в виде дивидендов) (в части суммы налога, не превышающей 650 тысяч рублей за налоговые периоды до 1 января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2025 года, а также в части суммы налога, не превышающей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312 тысяч рублей за налоговые периоды после 1 января 2025 года)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00010102030010000110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50 000 000,00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45 144 297,87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90,29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зидентом Российской Федерации в виде дивидендов) (в части суммы налога, не превышающей 650 тысяч рублей за налоговые периоды до 1 января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2025 года, а также в части суммы налога, не превышающей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312 тысяч рублей за налоговые периоды после 1 января 2025 года)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18210102030010000110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50 000 000,00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45 144 297,87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90,29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Налог на доходы физических лиц с доходов, полученных физическими лицами в соответствии со статьей 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овые периоды до 1 января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2025 года, а также в части суммы налога, не превышающей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312 тысяч рублей за налоговые периоды после 1 января 2025 года) (сумма платежа (перерасчеты, недоимка и задолженность по соответствующему платежу, в том числе по отмененному))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18210102030011000110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44 854 597,98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Налог на доходы физических лиц с доходов, полученных физическими лицами в соответствии со статьей 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овые периоды до 1 января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2025 года, а также в части суммы налога, не превышающей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312 тысяч рублей за налоговые периоды после 1 января 2025 года) (суммы денежных взысканий (штрафов) по соответствующему платежу согласно законодательству Российской Федерации)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18210102030013000110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289 699,89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Налог на доходы физических лиц в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00010102040010000110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1 103 000,00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882 629,47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80,02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Налог на доходы физических лиц в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18210102040010000110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1 103 000,00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882 629,47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80,02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ами, осуществляющими трудовую деятельность по найму на основании патента в соответствии со статьей 227.1 Налогового кодекса Российской Федерации (сумма платежа (перерасчеты, недоимка и задолженность по соответствующему платежу, в том числе по отмененному))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18210102040011000110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882 629,47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r>
          </w:p>
          <w:p>
            <w:pPr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5 000 000 рублей (за исключ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полученных 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базы, превышающей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r>
          </w:p>
          <w:p>
            <w:pPr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2,4 миллиона рублей и составляющей не более 5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00010102080010000110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74 603 000,00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48 939 023,22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65,60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r>
          </w:p>
          <w:p>
            <w:pPr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5 000 000 рублей (за исключ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полученных 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базы,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r>
          </w:p>
          <w:p>
            <w:pPr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 января 2025 года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18210102080010000110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74 603 000,00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48 939 023,22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65,60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Налог на до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ходы физических лиц в части суммы налога, превышающей 650 000 рублей, относящейся к части налоговой базы, превышающей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r>
          </w:p>
          <w:p>
            <w:pPr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5 000 000 рублей (за исключением налога на доходы физических лиц с сумм прибыли контролируемой иностранной компании, в том числе фиксирова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 за налоговые периоды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2,4 миллиона рублей и составляющей не более 5 миллионов рублей (за исключением налога на дохо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превышающей 312 тысяч рублей, относящейся к части налоговой базы, превышающей 2,4 миллиона рублей) за налоговые периоды после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r>
          </w:p>
          <w:p>
            <w:pPr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 января 2025 года (сумма платежа (перерасчеты, недоимка и задолженность по соответствующему платежу, в том числе по отмененному))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18210102080011000110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48 938 642,52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Налог на дох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оды физических лиц в части суммы налога, превышающей 650 000 рублей, относящейся к части налоговой базы, превышающей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r>
          </w:p>
          <w:p>
            <w:pPr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5 000 000 рублей (за исключением налога на доходы физических лиц с сумм прибыли контролируемой иностранной компании, в том числе фиксирован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 за налоговые периоды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2,4 миллиона рублей и составляющей не более 5 миллионов рублей (за исключением налога на доход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указанных в абзацах тридцать пятом и тридцать шестом статьи 50 Бюджетного кодекса Российской Ф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превышающей 312 тысяч рублей, относящейся к части налоговой базы, превышающей 2,4 миллиона рублей) за налоговые периоды после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r>
          </w:p>
          <w:p>
            <w:pPr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 января 2025 года (суммы денежных взысканий (штрафов) по соответствующему платежу согласно законодательству Российской Федерации)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18210102080013000110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380,70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Налог на доходы физических лиц в отношении доходов от долевого участия в организации, полученных физическим лицом - налоговым р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езидентом Российской Федерации в виде дивидендов (в части суммы налога, не превышающей 650 тысяч рублей за налоговые периоды до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r>
          </w:p>
          <w:p>
            <w:pPr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 января 2025 года, а также в части суммы налога, не превышающей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r>
          </w:p>
          <w:p>
            <w:pPr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312 тысяч рублей за налоговые периоды после 1 января 2025 года)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00010102130010000110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24 945 000,00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15 654 613,07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62,76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Налог на доходы физических лиц в отношении доходов от долевого участия в организации, полученных физическим лицом - налоговым р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езидентом Российской Федерации в виде дивидендов (в части суммы налога, не превышающей 650 тысяч рублей за налоговые периоды до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r>
          </w:p>
          <w:p>
            <w:pPr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 января 2025 года, а также в части суммы налога, не превышающей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r>
          </w:p>
          <w:p>
            <w:pPr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312 тысяч рублей за налоговые периоды после 1 января 2025 года)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18210102130010000110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24 945 000,00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15 654 613,07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62,76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овые периоды до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r>
          </w:p>
          <w:p>
            <w:pPr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 января 2025 года, а также в части суммы налога, не превышающей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r>
          </w:p>
          <w:p>
            <w:pPr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312 тысяч рублей за налоговые периоды после 1 января 2025 года) (сумма платежа (перерасчеты, недоимка и задолженность по соответствующему платежу, в том числе по отмененному))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18210102130011000110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15 654 613,07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Налог на доходы физических лиц в отношении доходов от долевого участия в организации, полученных физическим лицом - налог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овым резидентом Российской Федерации в виде дивидендов (в части суммы налога, превышающей 650 тысяч рублей за налоговые периоды до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r>
          </w:p>
          <w:p>
            <w:pPr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 января 2025 года, а также в части суммы налога, превышающей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r>
          </w:p>
          <w:p>
            <w:pPr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312 тысяч рублей за налоговые периоды после 1 января 2025 года)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00010102140010000110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76 000 000,00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64 965 094,33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85,48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Налог на доходы физических лиц в отношении доходов от долевого участия в организации, полученных физическим лицом - налог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овым резидентом Российской Федерации в виде дивидендов (в части суммы налога, превышающей 650 тысяч рублей за налоговые периоды до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r>
          </w:p>
          <w:p>
            <w:pPr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 января 2025 года, а также в части суммы налога, превышающей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r>
          </w:p>
          <w:p>
            <w:pPr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312 тысяч рублей за налоговые периоды после 1 января 2025 года)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18210102140010000110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76 000 000,00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64 965 094,33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85,48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650 тысяч рублей за на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логовые периоды до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r>
          </w:p>
          <w:p>
            <w:pPr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 января 2025 года, а также в части суммы налога, превышающей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r>
          </w:p>
          <w:p>
            <w:pPr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312 тысяч рублей за налоговые периоды после 1 января 2025 года) (сумма платежа (перерасчеты, недоимка и задолженность по соответствующему платежу, в том числе по отмененному))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18210102140011000110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64 965 094,33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Налог на доходы физических лиц в части суммы налога, превышающей 702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 тысячи рублей, относящейся к части налоговой базы, превышающей 5 миллионов рублей и составляющей не более 20 миллионов рублей (за исключением налога на доходы физических лиц в отношении доходов, указанных в абзаце тридцать девятом статьи 50 Бюджетного код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00010102150010000110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13 553 000,00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11 191 578,62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82,58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Налог на доходы физических лиц в части суммы налога, превышающей 702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 тысячи рублей, относящейся к части налоговой базы, превышающей 5 миллионов рублей и составляющей не более 20 миллионов рублей (за исключением налога на доходы физических лиц в отношении доходов, указанных в абзаце тридцать девятом статьи 50 Бюджетного код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18210102150010000110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13 553 000,00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11 191 578,62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82,58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Налог на доходы физических лиц в части суммы налога, превышающей 702 тысячи рублей, относящейся к части налоговой базы, превышающей 5 миллионов рублей и составляющей не более 20 ми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а Российской Федерации, в части суммы налога, превышающей 312 тысяч рублей, относящейся к части налоговой базы, превышающей 2,4 миллиона рублей) (сумма платежа (перерасчеты, недоимка и задолженность по соответствующему платежу, в том числе по отмененному))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18210102150011000110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11 191 578,62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Налог на доходы физических лиц в части суммы налога, превышающей 3 402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тысячи рублей, относящейся к части налоговой базы, превышающей 20 миллионов рублей и составляющей не более 50 миллионов рублей (за исключением налога на доходы физических лиц в отношении доходов, указанных в абзаце тридцать девятом статьи 50 Бюджетного код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00010102160010000110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205 572,34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Налог на доходы физических лиц в части суммы налога, превышающей 3 402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тысячи рублей, относящейся к части налоговой базы, превышающей 20 миллионов рублей и составляющей не более 50 миллионов рублей (за исключением налога на доходы физических лиц в отношении доходов, указанных в абзаце тридцать девятом статьи 50 Бюджетного код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18210102160010000110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205 572,34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shd w:val="clear" w:color="ffffff" w:fill="ffffff"/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Налог на доходы физических лиц в части суммы налога, превышающей 3 402 тысячи рублей, относящейся к части налоговой базы, превышающей 20 миллионов рублей и составляющей не более 50 ми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а Российской Федерации, в части суммы налога, превышающей 312 тысяч рублей, относящейся к части налоговой базы, превышающей 2,4 миллиона рублей) (сумма платежа (перерасчеты, недоимка и задолженность по соответствующему платежу, в том числе по отмененному))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18210102160011000110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205 572,34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Налог на доходы физических лиц в части суммы налога, относящейся к сумме налоговых баз, указанных в пункте 61 статьи 210 Налогового кодекса Российской Федерации, не превышающей 5 миллионов рублей, за налоговые периоды после 1 января 2025 года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00010102200010000110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500 000,00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601 212,27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120,24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Налог на доходы физических лиц в части суммы налога, относящейся к сумме налоговых баз, указанных в пункте 61 статьи 210 Налогового кодекса Российской Федерации, не превышающей 5 миллионов рублей, за налоговые периоды после 1 января 2025 года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18210102200010000110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500 000,00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601 212,27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120,24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Налог на доходы физических лиц в части суммы налога, относящейся к сумме налоговых баз, указанных в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 пункте 6.1 статьи 210 Налогового кодекса Российской Федерации, не превышающей 5 миллионов рублей, за налоговые периоды после 1 января 2025 года (сумма платежа (перерасчеты, недоимка и задолженность по соответствующему платежу, в том числе по отмененному))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18210102200011000110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601 212,27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00010102210010000110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642 321 000,00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623 675 611,20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97,10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18210102210010000110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642 321 000,00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623 675 611,20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97,10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Налог на доходы физических лиц в части суммы на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лога, относящейся к налоговой базе, указанной в пункте 6.2 статьи 210 Налогового кодекса Российской Федерации, не превышающей 5 миллионов рублей (сумма платежа (перерасчеты, недоимка и задолженность по соответствующему платежу, в том числе по отмененному))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18210102210011000110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623 674 978,85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shd w:val="clear" w:color="ffffff" w:fill="ffffff"/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Налог на доходы физических лиц в части суммы на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лога, относящейся к налоговой базе, указанной в пункте 6.2 статьи 210 Налогового кодекса Российской Федерации, не превышающей 5 миллионов рублей (суммы денежных взысканий (штрафов) по соответствующему платежу согласно законодательству Российской Федерации)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18210102210013000110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632,35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shd w:val="clear" w:color="ffffff" w:fill="ffffff"/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Налог на доход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ы физических лиц в части суммы налога, превышающей 650 тысяч рублей, относящейся к сумме налоговых баз, указанных в пункте 6.1 статьи 210 Налогового кодекса Российской Федерации, превышающей 5 миллионов рублей, за налоговые периоды после 1 января 2025 года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00010102220010000110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1 142,58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shd w:val="clear" w:color="ffffff" w:fill="ffffff"/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Налог на доход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ы физических лиц в части суммы налога, превышающей 650 тысяч рублей, относящейся к сумме налоговых баз, указанных в пункте 6.1 статьи 210 Налогового кодекса Российской Федерации, превышающей 5 миллионов рублей, за налоговые периоды после 1 января 2025 года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18210102220010000110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1 142,58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shd w:val="clear" w:color="ffffff" w:fill="ffffff"/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Налог на доходы физических лиц в части суммы налога, превышающей 650 тысяч рублей, относящейся к сумме налоговых баз, указанны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х в пункте 6.1 статьи 210 Налогового кодекса Российской Федерации, превышающей 5 миллионов рублей, за налоговые периоды после 1 января 2025 года (сумма платежа (перерасчеты, недоимка и задолженность по соответствующему платежу, в том числе по отмененному))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18210102220011000110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1 142,58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Налог на доходы физических лиц в части суммы налога, превышающей 650 тысяч рублей, относящейся к налоговой базе, указанной в пункте 62 статьи 210 Налогового кодекса Российской Федерации, превышающей 5 миллионов рублей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00010102230010000110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500 000,00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339 407,89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67,88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Налог на доходы физических лиц в части суммы налога, превышающей 650 тысяч рублей, относящейся к налоговой базе, указанной в пункте 62 статьи 210 Налогового кодекса Российской Федерации, превышающей 5 миллионов рублей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18210102230010000110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500 000,00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339 407,89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67,88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Налог на доходы физических лиц в части суммы налога, превышающей 650 тысяч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 рублей, относящейся к налоговой базе, указанной в пункте 6.2 статьи 210 Налогового кодекса Российской Федерации, превышающей 5 миллионов рублей (сумма платежа (перерасчеты, недоимка и задолженность по соответствующему платежу, в том числе по отмененному))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18210102230011000110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339 407,89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НАЛОГИ НА ТОВАРЫ (РАБОТЫ, УСЛУГИ), РЕАЛИЗУЕМЫЕ НА ТЕРРИТОРИИ РОССИЙСКОЙ ФЕДЕРАЦИИ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00010300000000000000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47 010 000,00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46 387 307,90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98,68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Акцизы по подакцизным товарам (продукции), производимым на территории Российской Федерации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00010302000010000110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47 010 000,00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46 178 885,90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98,23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00010302230010000110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24 437 000,00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23 425 549,22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95,86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Доходы от уплаты акцизов на дизельное топливо, подлежащие распределению между бюджетами субъектов Российск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18210302231010000110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24 437 000,00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23 425 549,22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95,86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Доходы от уплаты акцизо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00010302240010000110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111 000,00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137 071,98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123,49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18210302241010000110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111 000,00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137 071,98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123,49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00010302250010000110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24 830 000,00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24 958 505,53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100,52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Доходы от уплаты акцизов на автомобильный бензин, подлежащие распределению между бюджетами субъектов Российск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18210302251010000110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24 830 000,00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24 958 505,53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100,52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00010302260010000110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-2 368 000,00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-2 342 240,83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98,91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Доходы от уплаты акцизов на прямогонный бензин, подлежащие распределению между бюджетами субъектов Российск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18210302261010000110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-2 368 000,00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-2 342 240,83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98,91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Туристический налог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00010303000010000110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208 422,00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Туристический налог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18210303000010000110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208 422,00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Туристический налог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18210303000011000110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208 422,00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НАЛОГИ НА СОВОКУПНЫЙ ДОХОД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00010500000000000000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129 336 911,06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147 920 411,09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114,37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Налог, взимаемый в связи с применением упрощенной системы налогообложения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00010501000000000110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21 573 000,00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22 378 715,18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103,73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Налог, взимаемый с налогоплательщиков, выбравших в качестве объекта налогообложения доходы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00010501010010000110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16 475 300,00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17 129 037,26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103,97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Налог, взимаемый с налогоплательщиков, выбравших в качестве объекта налогообложения доходы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18210501011010000110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16 475 300,00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17 129 037,26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103,97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Налог, взимаемый с налогоплательщиков, выбравших в качестве объекта налогообложения доходы (сумма платежа (перерасчеты, недоимка и задолженность по соответствующему платежу, в том числе по отмененному))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18210501011011000110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17 121 355,01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Налог, взимаемый с налогоплательщиков, выбравших в качестве объекта налогообложения доходы (суммы денежных взысканий (штрафов) по соответствующему платежу согласно законодательству Российской Федерации)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18210501011013000110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7 682,25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Налог, взимаемый с налогоплательщиков, выбравших в качестве объекта налогообложения доходы, уменьшенные на величину расходов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00010501020010000110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5 097 700,00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5 249 677,92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102,98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18210501021010000110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5 097 700,00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5 249 677,92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102,98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Налог, взимаемый с налогоплательщиков, выбравших в качестве объек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та налогообложения доходы, уменьшенные на величину расходов, в том числе минимальный налог, зачисляемый в бюджеты субъектов Российской Федерации (сумма платежа (перерасчеты, недоимка и задолженность по соответствующему платежу, в том числе по отмененному))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18210501021011000110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5 246 698,77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Налог, взимаемый с налогоплательщиков, выбравших в качестве объек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та налогообложения доходы, уменьшенные на величину расходов, в том числе минимальный налог, зачисляемый в бюджеты субъектов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18210501021013000110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2 979,15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Единый налог на вмененный доход для отдельных видов деятельности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00010502000020000110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165 651,06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175 855,68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106,16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Единый налог на вмененный доход для отдельных видов деятельности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00010502010020000110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165 651,06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175 855,68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106,16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Единый налог на вмененный доход для отдельных видов деятельности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18210502010020000110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165 651,06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175 855,68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106,16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Единый налог на вмененный доход для отдельных видов деятельности (сумма платежа (перерасчеты, недоимка и задолженность по соответствующему платежу, в том числе по отмененному))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18210502010021000110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163 076,37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Единый налог на вмененный доход для отдельных видов деятельности (суммы денежных взысканий (штрафов) по соответствующему платежу согласно законодательству Российской Федерации)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18210502010023000110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12 779,31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Единый сельскохозяйственный налог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00010503000010000110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1 598 260,00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1 598 260,00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100,00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Единый сельскохозяйственный налог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00010503010010000110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1 598 260,00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1 598 260,00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100,00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Единый сельскохозяйственный налог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18210503010010000110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1 598 260,00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1 598 260,00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100,00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Единый сельскохозяйственный налог (сумма платежа (перерасчеты, недоимка и задолженность по соответствующему платежу, в том числе по отмененному))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18210503010011000110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1 598 260,00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Налог, взимаемый в связи с применением патентной системы налогообложения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00010504000020000110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106 000 000,00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123 767 580,23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116,76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Налог, взимаемый в связи с применением патентной системы налогообложения, зачисляемый в бюджеты городских округов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00010504010020000110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106 000 000,00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123 767 580,23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116,76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Налог, взимаемый в связи с применением патентной системы налогообложения, зачисляемый в бюджеты городских округов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18210504010020000110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106 000 000,00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123 767 580,23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116,76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Налог, взимаемый в связи с применением патентной системы налогообложения, зачисляемый в бюджеты городских округов (сумма платежа (перерасчеты, недоимка и задолженность по соответствующему платежу, в том числе по отмененному))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18210504010021000110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123 767 580,23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НАЛОГИ НА ИМУЩЕСТВО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00010600000000000000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282 353 000,00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290 448 195,75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102,87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Налог на имущество физических лиц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00010601000000000110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97 000 000,00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101 562 128,17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104,70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00010601020040000110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97 000 000,00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101 562 128,17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104,70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18210601020040000110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97 000 000,00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101 562 128,17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104,70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городских округов (сумма платежа (перерасчеты, недоимка и задолженность по соответствующему платежу, в том числе по отмененному))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18210601020041000110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101 562 128,17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городских округов (суммы денежных взысканий (штрафов) по соответствующему платежу согласно законодательству Российской Федерации)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18210601020043000110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Земельный налог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00010606000000000110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185 353 000,00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188 886 067,58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101,91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Земельный налог с организаций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00010606030000000110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108 103 000,00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110 027 767,63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101,78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Земельный налог с организаций, обладающих земельным участком, расположенным в границах городских округов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18210606032040000110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108 103 000,00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110 027 767,63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101,78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Земельный налог с организаций, обладающих земельным участком, расположенным в границах городских округов (сумма платежа (перерасчеты, недоимка и задолженность по соответствующему платежу, в том числе по отмененному))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18210606032041000110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110 027 767,63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Земельный налог с физических лиц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00010606040000000110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77 250 000,00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78 858 299,95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102,08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Земельный налог с физических лиц,  обладающих земельным участком, расположенным в границах городских округов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18210606042040000110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77 250 000,00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78 858 299,95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102,08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Земельный налог с физических лиц, обладающих земельным участком, расположенным в границах городских округов (сумма платежа (перерасчеты, недоимка и задолженность по соответствующему платежу, в том числе по отмененному))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18210606042041000110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78 858 299,95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ГОСУДАРСТВЕННАЯ ПОШЛИНА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00010800000000000000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76 899 000,00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71 226 107,85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92,62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Государственная пошлина по делам, рассматриваемым в судах общей юрисдикции, мировыми судьями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00010803000010000110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76 609 000,00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70 936 107,85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92,60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00010803010010000110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76 609 000,00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70 936 107,85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92,60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18210803010010000110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76 609 000,00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70 936 107,85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92,60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Государственная пошлина по делам, рассматриваемым в судах общей юрисдикции, мировыми судьями, за исключением Верховного Суда Российской Федерации (государственная пошлина, уплачиваемая при обращении в суды)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18210803010011050110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68 271 206,13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Г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осударственная пошлина по делам, рассматриваемым в судах общей юрисдикции, мировыми судьями, за исключением Верховного Суда Российской Федерации (государственная пошлина, уплачиваемая на основании судебных актов по результатам рассмотрения дел по существу)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18210803010011060110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2 664 901,72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Государственная пошлина за государственную регистрацию, а также за совершение прочих юридически значимых действий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00010807000010000110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290 000,00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290 000,00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100,00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Государственная пошлина за выдачу разрешения на установку рекламной конструкции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00010807150010000110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290 000,00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290 000,00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100,00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Государственная пошлина за выдачу разрешения на установку рекламной конструкции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51010807150010000110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290 000,00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290 000,00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100,00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ДОХОДЫ ОТ ИСПОЛЬЗОВАНИЯ ИМУЩЕСТВА, НАХОДЯЩЕГОСЯ В ГОСУДАРСТВЕННОЙ И МУНИЦИПАЛЬНОЙ СОБСТВЕННОСТИ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00011100000000000000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324 527 638,34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316 789 374,25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97,62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Доходы, получаемые в виде аренд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00011105000000000120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304 509 287,69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295 436 141,81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97,02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00011105010000000120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278 990 414,23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269 403 428,19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96,56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Доходы, п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55011105012040000120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278 990 414,23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269 403 428,19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96,56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Доходы, получаемы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00011105020000000120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2 592 115,11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2 184 000,20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84,26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55011105024040000120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2 592 115,11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2 184 000,20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84,26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Доходы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00011105030000000120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13 206 561,00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13 409 472,35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101,54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51011105034040000120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11 426 775,00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11 782 026,42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103,11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Доходы от сдачи в аренду имущества, находящегося в оперативном управлении органов управления городских округов и созданных ими учреждений, за исключением имущества муниципальных бюджетных и автономных учреждений (административно-хозяйственное управление)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51011105034040402120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7 760 236,29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Доходы от сдачи в аренду имущества, находящегося в оперативном управлении органов управления городских округов и созданных ими учреждений, за исключением имущества муниципальных бюджетных и автономных учреждений (управление благоустройства)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51011105034040403120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3 101 344,93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Доход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ы от сдачи в аренду имущества, находящегося в оперативном управлении органов управления городских округов и созданных ими учреждений, за исключением имущества муниципальных бюджетных и автономных учреждений (управление строительства и капитального ремонта)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51011105034040405120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920 445,20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53011105034040000120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1 674 000,00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1 514 661,83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90,48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Доходы от сда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чи в аренду имущества, находящегося в оперативном управлении органов управления городских округов и созданных ими учреждений, за исключением имущества муниципальных бюджетных и автономных учреждений (централизованная система культурно-досуговых учреждений)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53011105034040203120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1 514 661,83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57011105034040000120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105 786,00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112 784,10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106,62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Доходы от сдачи в аренду имущества, находящегося в оперативном управлении органов управления городских округов и созданных ими учреждений, за исключением имущества муниципальных бюджетных и автономных учреждений (центр физической культуры и спорта)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57011105034040301120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40 211,60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Доходы от сдачи в аренду имущества, находящегося в оперативном управлении органов управления городских округов и созданных ими учреждений, за исключением имущества муниципальных бюджетных и автономных учреждений (центр медицинской профилактики)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57011105034040404120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72 572,50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Доходы от сдачи в аренду имущества, составляющего государственную (муниципальную) казну (за исключением земельных участков)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00011105070000000120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9 720 197,35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10 439 241,07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107,40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Доходы от сдачи в аренду имущества, составляющего казну городских округов (за исключением земельных участков)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55011105074040000120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9 720 197,35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10 439 241,07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107,40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00011105300000000120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9 421,29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9 421,29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100,00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Плата по соглашениям об установлении сервитута в отношении земельных участков, государственная собственность на которые не разграничена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00011105310000000120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6 548,13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6 548,13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100,00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Плата по соглашениям об установлении сервитута, заключенным органами местного самоуправления городс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55011105312040000120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6 548,13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6 548,13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100,00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Плат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а по соглашениям об установлении сервитута в отношении земельных участков,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00011105326000000120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2 873,16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2 873,16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100,00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ении земельных участков, которые расположены в границах городских округов,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80711105326040000120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2 873,16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2 873,16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100,00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государственной или муниципальной собственности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00011105400000000120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8 979,72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346 194,28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3 855,29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Плата за публичный сервитут, предусмотренная решением уполномоченного органа об установлении публичного сервитута в отношении земельных участков, государственная собственность на которые не разграничена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00011105410000000120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8 979,72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346 194,28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3 855,29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Плата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за публичный сервитут, предусмотренная решением уполномоченного органа об установлении публичного сервитута в отношении земельных участков, государственная собственность на которые не разграничена и которые расположены в границах городских округов и не пре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доставленных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55011105410040000120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8 979,72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346 194,28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3 855,29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Прочие д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00011109000000000120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19 999 949,64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20 997 616,87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104,99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Прочие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00011109040000000120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14 039 847,64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14 916 046,94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106,24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51011109044040000120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12 739 847,64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13 616 046,94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106,88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Прочие поступления от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за наем жилого помещения)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51011109044040002120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13 616 046,94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55011109044040000120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1 300 000,00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1 300 000,00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100,00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Прочие поступления от исп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ользования имущества, находящегося в собственности городских округов, за исключением имущества муниципальных бюджетных и автономных учреждений, а также имущества муниципальных унитарных предприятий, в том числе казенных (плата по концессионному соглашению)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55011109044040006120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1 300 000,00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Плата, поступившая в рамках договора за предоставление права на размещение и эксплуатацию нестационарного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00011109080000000120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5 960 102,00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6 081 569,93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102,04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Плата, поступившая в рамках договора за предоставление права на размещение и эксплуатацию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51011109080040000120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2 460 102,00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2 455 102,00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99,80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(установка и эксплуатация рекламной конструкции)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51011109080040004120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2 455 102,00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Плата, поступившая в рамках договора за предоставление права на размещение и эксплуатацию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55011109080040000120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3 500 000,00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3 626 467,93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103,61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за размещение нестационарного торгового объекта)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55011109080040005120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2 606 391,95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 в собственности городских округов, и на землях или земельных участках, государственная собственность на которые не разграничена (плата за право включения хозяйствующего субъекта в схему размещения нестационарных торговых объектов без проведения аукционов)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55011109080040008120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1 020 075,98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ПЛАТЕЖИ ПРИ ПОЛЬЗОВАНИИ ПРИРОДНЫМИ РЕСУРСАМИ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00011200000000000000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9 493 765,04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9 496 830,76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100,03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Плата за негативное воздействие на окружающую среду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00011201000010000120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9 493 765,04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9 496 830,76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100,03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Плата за выбросы загрязняющих веществ в атмосферный воздух стационарными объектами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00011201010010000120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1 132 586,91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1 133 535,72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100,08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Плата за выбросы загрязняющих веществ в атмосферный воздух стационарными объектами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04811201010010000120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1 132 586,91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1 133 535,72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100,08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Плата за выбросы загрязняющих веществ в атмосферный воздух стационарными объектами (федеральные государственные органы, Банк России, органы управления государственными внебюджетными фондами Российской Федерации)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04811201010016000120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1 133 535,72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Плата за сбросы загрязняющих веществ в водные объекты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00011201030010000120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3 905 357,02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3 905 357,02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100,00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Плата за сбросы загрязняющих веществ в водные объекты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04811201030010000120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3 905 357,02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3 905 357,02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100,00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Плата за сбросы загрязняющих веществ в водные объекты (федеральные государственные органы, Банк России, органы управления государственными внебюджетными фондами Российской Федерации)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04811201030016000120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3 905 357,02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Плата за размещение отходов производства и потребления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00011201040010000120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4 455 821,11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4 457 938,02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100,05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Плата за размещение отходов производства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04811201041010000120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4 455 821,11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4 457 938,02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100,05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Плата за размещение отходов производства (федеральные государственные органы, Банк России, органы управления государственными внебюджетными фондами Российской Федерации)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04811201041016000120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4 457 938,02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ДОХОДЫ ОТ ОКАЗАНИЯ ПЛАТНЫХ УСЛУГ И КОМПЕНСАЦИИ ЗАТРАТ ГОСУДАРСТВА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00011300000000000000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157 773 910,70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157 849 973,43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100,05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Доходы от оказания платных услуг (работ)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00011301000000000130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56 668 661,75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53 715 339,54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94,79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Прочие доходы от оказания платных услуг (работ)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00011301990000000130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56 668 661,75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53 715 339,54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94,79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Прочие доходы от оказания платных услуг (работ) получателями средств бюджетов городских округов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51011301994040000130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2 986 185,42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2 986 185,42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100,00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Прочие доходы от оказания платных услуг (работ) получателями средств бюджетов городских округов (управление благоустройства)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51011301994040403130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2 986 185,42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Прочие доходы от оказания платных услуг (работ) получателями средств бюджетов городских округов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53011301994040000130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10 786 000,00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13 883 051,12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128,71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Прочие доходы от оказания платных услуг (работ) получателями средств бюджетов городских округов (ДШИ № 1)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53011301994040201130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1 821 359,93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Прочие доходы от оказания платных услуг (работ) получателями средств бюджетов городских округов (ДШИ № 2)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53011301994040202130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3 309 275,89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Прочие доходы от оказания платных услуг (работ) получателями средств бюджетов городских округов (централизованная система культурно-досуговых учреждений)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53011301994040203130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7 764 800,00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Прочие доходы от оказания платных услуг (работ) получателями средств бюджетов городских округов (историко-краеведческий музей)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53011301994040206130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720 015,30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Прочие доходы от оказания платных услуг (работ) получателями средств бюджетов городских округов (централизованная библиотечная система)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53011301994040208130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267 600,00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Прочие доходы от оказания платных услуг (работ) получателями средств бюджетов городских округов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57011301994040000130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42 896 476,33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36 846 103,00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85,90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Прочие доходы от оказания платных услуг (работ) получателями средств бюджетов городских округов (центр физической культуры и спорта)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57011301994040301130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36 846 103,00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Доходы от компенсации затрат государства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00011302000000000130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101 105 248,95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104 134 633,89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103,00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Доходы, поступающие в порядке возмещения расходов, понесенных в связи с эксплуатацией имущества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00011302060000000130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1 664 471,00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1 788 319,68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107,44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Доходы, поступающие в порядке возмещения расходов, понесенных в связи с эксплуатацией имущества городских округов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51011302064040000130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649 074,00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750 814,06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115,67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Доходы, поступающие в порядке возмещения расходов, понесенных в связи с эксплуатацией имущества городских округов (прочие поступления)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51011302064044000130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750 814,06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Доходы, поступающие в порядке возмещения расходов, понесенных в связи с эксплуатацией имущества городских округов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53011302064040000130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834 000,00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860 525,37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103,18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Доходы, поступающие в порядке возмещения расходов, понесенных в связи с эксплуатацией имущества городских округов (по учреждениям культуры)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53011302064040200130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860 525,37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Доходы, поступающие в порядке возмещения расходов, понесенных в связи с эксплуатацией имущества городских округов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57011302064040000130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181 397,00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176 980,25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97,57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Доходы, поступающие в порядке возмещения расходов, понесенных в связи с эксплуатацией имущества городских округов (по учреждениям физической культуры и спорта)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57011302064040300130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176 980,25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Прочие доходы от компенсации затрат государства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00011302990000000130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99 440 777,95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102 346 314,21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102,92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Прочие доходы от компенсации затрат бюджетов городских округов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51011302994040000130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96 982 391,24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98 075 435,39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101,13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Прочие доходы от компенсации затрат бюджетов городских округов (компенсационная стоимость зеленых насаждений)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51011302994040007130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92 746 753,29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93 827 570,97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101,17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Прочие доходы от компенсации затрат бюджетов городских округов (прочие поступления)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51011302994044000130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4 235 637,95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4 247 864,42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100,29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Прочие доходы от компенсации затрат бюджетов городских округов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52011302994040000130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358 714,94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401 641,69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111,97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Прочие доходы от компенсации затрат бюджетов городских округов (прочие поступления)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52011302994044000130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401 641,69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Прочие доходы от компенсации затрат бюджетов городских округов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53011302994040000130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950 686,91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1 036 453,33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109,02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Прочие доходы от компенсации затрат бюджетов городских округов (по учреждениям культуры)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53011302994040200130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1 036 453,33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Прочие доходы от компенсации затрат бюджетов городских округов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54011302994040000130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37 223,98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37 223,98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100,00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Прочие доходы от компенсации затрат бюджетов городских округов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54011302994044000130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37 223,98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Прочие доходы от компенсации затрат бюджетов городских округов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55011302994040000130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1 087 160,88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2 769 348,56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254,73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Прочие доходы от компенсации затрат бюджетов городских округов (прочие поступления)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55011302994044000130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2 769 348,56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Прочие доходы от компенсации затрат бюджетов городских округов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57011302994040000130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24 600,00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26 211,26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106,55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Прочие доходы от компенсации затрат бюджетов городских округов (по учреждениям физической культуры и спорта)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57011302994040300130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26 211,26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ДОХОДЫ ОТ ПРОДАЖИ МАТЕРИАЛЬНЫХ И НЕМАТЕРИАЛЬНЫХ АКТИВОВ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00011400000000000000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276 366 575,06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283 018 182,12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102,41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До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00011402000000000000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12 738 053,58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13 213 153,58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103,73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Доходы от реализации имущества, находящегося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00011402040040000410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12 738 053,58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13 213 153,58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103,73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Доходы от реализации иму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51011402042040000440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159 124,57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159 124,57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100,00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Доходы от реализации иного имущества, нах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55011402043040000410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12 578 929,01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13 054 029,01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103,78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Доходы от продажи земельных участков, находящихся в государственной и муниципальной собственности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00011406000000000430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184 270 830,46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190 223 384,35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103,23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Доходы от продажи земельных участков, государственная собственность на которые не разграничена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00011406010000000430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184 270 830,46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188 735 573,75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102,42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55011406012040000430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184 270 830,46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188 735 573,75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102,42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Доходы от продажи земельных участков, государственная собственность на которые разграничена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00011406020000000430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1 487 810,60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1 487 810,60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100,00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55011406024040000430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1 487 810,60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1 487 810,60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100,00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00011406300000000430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77 869 880,42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79 581 644,19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102,20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00011406310000000430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77 869 880,42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79 581 644,19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102,20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Плата за увеличение площади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55011406312040000430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77 869 880,42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79 581 644,19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102,20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ШТРАФЫ, САНКЦИИ, ВОЗМЕЩЕНИЕ УЩЕРБА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00011600000000000000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33 371 528,54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34 109 788,18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102,21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Административные штрафы, установленные Кодексом Российской Федерации об административных правонарушениях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00011601000010000140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1 038 000,00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976 150,36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94,04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00011601050010000140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15 500,00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20 463,22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132,02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Админис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78511601053010000140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15 500,00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20 463,22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132,02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щие на права граждан, налагаемые мировыми судьями, комиссиями по делам несовершеннолетних и защите их прав (штрафы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78511601053010035140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7 963,22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Административные штрафы, установленные главой 5 Кодекса Российской Ф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нарушение порядка рассмотрения обращений граждан)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78511601053010059140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7 500,00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Административные штра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(иные штрафы)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78511601053019000140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00011601060010000140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80 000,00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90 565,25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113,21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Административные штрафы, установленные главой 6 Кодекса Российской Федерации об админ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78511601063010000140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80 000,00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90 565,25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113,21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незаконный оборо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т наркотических средств, психотропных веществ или их аналогов и незаконные приобретение, хранение, перевозка растений, содержащих наркотические средства или психотропные вещества, либо их частей, содержащих наркотические средства или психотропные вещества)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78511601063010008140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психоактивных веществ)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78511601063010009140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13 322,93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уклонение от прохождения диагно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стики, профилактических мероприятий, лечения от наркомании и (или) медицинской и (или) социальной реабилитации в связи с потреблением наркотических средств или психотропных веществ без назначения врача либо новых потенциально опасных психоактивных веществ)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78511601063010091140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5 014,61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Административные штрафы, установленные главой 6 Кодекса Российской Федерации об административных правон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побои)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78511601063010101140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60 068,79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Административные штрафы, установленные главой 6 Кодекса Российской Федерации об административных пр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(иные штрафы)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78511601063019000140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10 158,92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00011601070010000140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57 500,00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68 214,42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118,63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Администр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78511601073010000140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55 000,00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60 714,42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110,39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Административные штрафы, установленн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мелкое хищение)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78511601073010027140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16 147,42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Административные штрафы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(иные штрафы)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78511601073019000140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44 567,00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55011601074010000140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2 500,00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7 500,00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300,00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00011601080010000140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16 000,00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15 570,07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97,31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Административные штрафы, установленные главой 8 Кодекса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животными, налагаемые мировыми судьями, комиссиями по делам несовершеннолетних и защите их прав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78511601083010000140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16 000,00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15 570,07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97,31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ды, природопользования и обращения с животными, налагаемые мировыми судьями, комиссиями по делам несовершеннолетних и защите их прав (штрафы за нарушение правил охоты, правил, регламентирующих рыболовство и другие виды пользования объектами животного мира)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78511601083010037140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15 570,07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00011601140010000140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75 000,00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54 188,15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72,25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Административные штрафы, установленные главой 14 Кодекса Российско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78511601143010000140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75 000,00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54 188,15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72,25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незаконну. продажу товаров (иных вещей), свободная реализация которых запрещена или ограничена)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78511601143010002140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750,00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нарушение правил продажи этилового спирта, алкогольной и спиртосодержащей продукции)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78511601143010016140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20 000,00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осуществление предпринимательской деятельности в области транспорта без лицензии)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78511601143010102140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незаконную розничную продажу алкогольной и спиртосодержащей пищевой продукции физическими лицами)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78511601143010171140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Административные штрафы, установленные главой 14 Кодекса Российской Федерации об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(иные штрафы)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78511601143019000140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21 438,15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Административные штрафы, установленные главой 15 Кодек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00011601150010000140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107 000,00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93 646,31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87,52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ства, использования и обращения драгоценных металлов и драгоценных камней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78511601153010000140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82 000,00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68 646,31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83,72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Административные штрафы, установленные главой 15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камней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нарушение сроков постановки на учет в налоговом органе)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78511601153010003140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150,00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Административные штрафы, установленные главой 15 Кодекса Российской Федераци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 (за исключением штраф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нарушение сроков представления налоговой декларации (расчета по страховым взносам))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78511601153010005140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46 046,31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Административные штрафы, установленные главой 15 Кодекса Российской Федерации об ад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 (за исключением штрафов, ука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непредставление (несообщение) сведений, необходимых для осуществления налогового контроля)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78511601153010006140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6 400,00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вания и обращения драгоценных металлов и драгоценных камней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(иные штрафы)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78511601153019000140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16 050,00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умаг, добычи, производства, использования и обращения драгоценных металлов и драгоценных камней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54011601154010000140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25 000,00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25 000,00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100,00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Административные штрафы, установленные главой 16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00011601160010000140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6 916,00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69,16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Административные штрафы, установленн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ые главой 16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правил), налагаемые мировыми судьями, комиссиями по делам несовершеннолетних и защите их прав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78511601163010000140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6 916,00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69,16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00011601170010000140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7 000,00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6 000,00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85,71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Административные штрафы, ус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78511601173010000140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7 000,00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6 000,00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85,71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гаемые мировыми судьями, комиссиями по делам несовершеннолетних и защите их прав (штрафы за невыполнение законных требований прокурора, следователя, дознавателя или должностного лица, осуществляющего производство по делу об административном правонарушении)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78511601173010007140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shd w:val="clear" w:color="ffffff" w:fill="ffffff"/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Адм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олетних и защите их прав (штрафы за воспрепятствование законной деятельности должностного лица органа, уполномоченного на осуществление функций по принудительному исполнению исполнительных документов и обеспечению установленного порядка деятельности судов)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78511601173010008140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00011601190010000140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90 000,00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103 462,70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114,96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Админ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78511601193010000140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90 000,00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103 462,70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114,96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ия, налагаемые мировыми судьями, комиссиями по делам несовершеннолетних и защите их прав (штрафы за передачу либо попытку передачи запрещенных предметов лицам, содержащимся в учреждениях уголовно-исполнительной системы или изоляторах временного содержания)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78511601193010012140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35 511,84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Административные штрафы, установленные главой 19 Кодекса Российс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заведомо ложный вызов специализированных служб)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78511601193010013140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3 750,86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органа (должностного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 лица), осуществляющего муниципальный контроль)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78511601193010005140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1 550,00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Административные шт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(иные штрафы)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78511601193019000140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62 650,00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00011601200010000140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580 000,00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517 124,24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89,16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Административные штрафы, установленные глав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78511601203010000140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580 000,00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517 124,24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89,16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Административные штрафы, установленные главой 20 Кодекса Российской Федерации об административных правона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нарушение правил производства, приобретения, прода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жи, передачи, хранения, перевозки, ношения, коллекционирования, экспонирования, уничтожения или учета оружия и патронов к нему, а также нарушение правил производства, продажи, хранения, уничтожения или учета взрывчатых веществ и взрывных устройств, пиротех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нических изделий, порядка выдачи свидетельства о прохождении подготовки и проверки знания правил безопасного обращения с оружием и наличия навыков безопасного обращения с оружием или медицинских заключений об отсутствии противопоказаний к владению оружием)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78511601203010008140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30 144,38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Административные штрафы, установленные главой 20 Кодекса Российской Федерации об административных правонаруше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появление в общественных местах в состоянии опьянения)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78511601203010021140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375,00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Административные штрафы, установленные главой 20 Кодекса Российской Федерации об административных правонару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уклонение от исполнения административного наказания)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78511601203010025140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323 017,26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Административные штрафы, установленные главой 20 Кодекса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78511601203019000140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163 587,60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Административные штрафы, установленные законами субъектов Российской Федерации об административных правонарушениях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00011602000020000140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13 500 000,00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15 898 264,95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117,76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00011602020020000140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13 500 000,00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15 898 264,95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117,76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51011602020020000140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13 500 000,00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15 898 264,95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117,76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Штрафы, неустойки, пени, уплаченные в соответствии с законом или договором в случае неисполнения или ненадлеж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00011607000010000140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18 668 454,88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16 904 270,88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90,55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00011607010010000140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686 442,41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1 661 794,84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242,09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51011607010040000140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625 464,69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1 435 697,67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229,54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53011607010040000140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60 977,72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226 097,17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370,79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Штрафы, неустойки,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 (централизованная библиотечная система)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53011607010040208140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226 097,17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Иные штрафы, неустойки, п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00011607090010000140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17 982 012,47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15 242 476,04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84,77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51011607090040000140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379 730,72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428 583,50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112,87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Иные штрафы, неустойки, пени, уплаченные в соответствии с зак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(пени за нарушение условий договоров, связанных с распоряжением муниципальным имуществом)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51011607090040001140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428 583,50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городского округа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55011607090040000140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17 602 281,75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14 813 892,54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84,16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Иные штрафы, неустойки, пени, уплаченные в соответствии с за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городского округа (пени за нарушение условий договоров, связанных с распоряжением муниципальным имуществом)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55011607090040001140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14 477 949,21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поступления)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55011607090044000140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335 943,33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Платежи в целях возмещения причиненного ущерба (убытков)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00011610000000000140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135 483,39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181 541,61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134,00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00011610120000000140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135 483,39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181 541,61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134,00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18211610123010000140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117 725,65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18211610123010041140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117 725,65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в 2019 году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18811610123010000140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90 950,00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2,20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18811610123010041140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в 2019 году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51011610123010000140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8 000,00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51011610123010041140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8 000,00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действующим  в  2019 году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18211610129010000140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44 533,39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53 815,96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120,84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 (иные штрафы)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18211610129019000140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53 815,96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Платежи, уплачиваемые в целях возмещения вреда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00011611000010000140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29 590,27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149 560,38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505,44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Платежи по искам о возмещении вреда, причиненного окружающей среде, а также платежи, уплач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вреда, причиненного водным объектам, водным биологическим ресурсам, атмосферному воздух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у, почвам, недрам, объектам животного мира, занесенным в Красную книгу Российской Федерации, а также иным объектам животного мира, не относящимся к объектам охоты и рыболовства и среде их обитания), подлежащие зачислению в бюджет муниципального образования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00011611050010000140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10 951,72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10 951,72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100,00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Платежи по искам о возмещении вреда, причиненного окружающей среде, а также платежи, уплач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вреда, причиненного водным объектам, водным биологическим ресурсам, атмосферному воздух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у, почвам, недрам, объектам животного мира, занесенным в Красную книгу Российской Федерации, а также иным объектам животного мира, не относящимся к объектам охоты и рыболовства и среде их обитания), подлежащие зачислению в бюджет муниципального образования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07611611050010000140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5 485,72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5 485,72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100,00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Платежи по искам о возмещении вреда, причиненного окружающей среде, а также платежи, уплач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вреда, причиненного водным объектам, водным биологическим ресурсам, атмосферному воздух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у, почвам, недрам, объектам животного мира, занесенным в Красную книгу Российской Федерации, а также иным объектам животного мира, не относящимся к объектам охоты и рыболовства и среде их обитания), подлежащие зачислению в бюджет муниципального образования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80711611050010000140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5 466,00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5 466,00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100,00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Платежи, уплачиваемые в целях возмещения вреда, причиняемого автомобильным дорогам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00011611060010000140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18 638,55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104 121,66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558,64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Платежи, уплачиваемые в целях возмещения вреда, причиняемого автомобильным дорогам местного значения тяжеловесными транспортными средствами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00011611064010000140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18 638,55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104 121,66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558,64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Платежи, уплачиваемые в целях возмещения вреда, причиняемого автомобильным дорогам местного значения тяжеловесными транспортными средствами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51011611064010000140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18 638,55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104 121,66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558,64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Платежи по искам о возме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щении вреда, причиненного почвам, а также платежи, уплачиваемые при добровольном возмещении вреда, причиненного почвам, подлежащие зачислению в бюджет муниципального образования (за исключением вреда, причиненного на особо охраняемых природных территориях)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00011611130010000140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34 487,00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Платежи по искам о возме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щении вреда, причиненного почвам, а также платежи, уплачиваемые при добровольном возмещении вреда, причиненного почвам, подлежащие зачислению в бюджет муниципального образования (за исключением вреда, причиненного на особо охраняемых природных территориях)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04811611130010000140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34 487,00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ПРОЧИЕ НЕНАЛОГОВЫЕ ДОХОДЫ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00011700000000000000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5 100 000,00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5 082 600,87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99,66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Невыясненные поступления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00011701000000000180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64 816,19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Невыясненные поступления, зачисляемые в бюджеты городских округов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00011701040040000180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64 816,19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Невыясненные поступления, зачисляемые в бюджеты городских округов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51011701040040000180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-13 284,15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Невыясненные поступления, зачисляемые в бюджеты городских округов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55011701040040000180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75 300,34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Невыясненные поступления, зачисляемые в бюджеты городских округов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57011701040040000180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2 800,00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Прочие неналоговые доходы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00011705000000000180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5 100 000,00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5 017 784,68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98,39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Прочие неналоговые доходы бюджетов городских округов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00011705040040000180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5 100 000,00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5 017 784,68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98,39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Прочие неналоговые доходы бюджетов городских округов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55011705040040000180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5 100 000,00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5 017 784,68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98,39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Прочие неналоговые доходы бюджетов городских округов (плата за выдачу разрешения на размещение на землях или земельных участках, находящихся в муниципальной собственности, объектов без предоставления земельных участков и установления сервитута)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55011705040040001180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5 017 784,68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БЕЗВОЗМЕЗДНЫЕ ПОСТУПЛЕНИЯ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00020000000000000000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3 848 627 176,57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3 602 585 509,08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93,61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БЕЗВОЗМЕЗДНЫЕ ПОСТУПЛЕНИЯ ОТ ДРУГИХ БЮДЖЕТОВ БЮДЖЕТНОЙ СИСТЕМЫ РОССИЙСКОЙ ФЕДЕРАЦИИ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00020200000000000000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3 841 803 183,95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3 595 060 557,96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93,58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Дотации бюджетам бюджетной системы Российской Федерации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00020210000000000150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156 800 000,00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161 474 000,00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102,98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Прочие дотации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00020219999000000150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156 800 000,00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161 474 000,00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102,98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Прочие дотации бюджетам городских округов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51020219999040000150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156 800 000,00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161 474 000,00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102,98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Субсидии бюджетам бюджетной системы Российской Федерации (межбюджетные субсидии)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00020220000000000150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1 357 599 681,75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1 127 624 569,32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83,06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Субсидии бюджетам городских округов на софинансирование капитальных вложений в объекты муниципальной собственности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00020220077040000150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409 767 300,14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214 200 764,60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52,27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Субсидии бюджетам городских округов на софинансирование капитальных вложений в объекты муниципальной собственности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51020220077040000150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409 767 300,14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214 200 764,60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52,27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Субсидии бюджетам городских округов на обеспечение мероприятий по переселению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публично-правовой компании «Фонд развития территорий»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00020220299040000150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133 222 278,19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132 330 369,83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99,33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Субсидии бюджетам городских округов на обеспечение мероприятий по переселению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публично-правовой компании «Фонд развития территорий»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51020220299040000150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133 222 278,19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132 330 369,83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99,33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Субсидии бюджетам муницип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00020220302000000150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107 736 322,10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107 672 203,02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99,94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Субсидии бюджетам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51020220302040000150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107 736 322,10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107 672 203,02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99,94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Субсидии бюджетам на государственную поддержку организаций, входящих в систему спортивной подготовки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00020225081000000150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119 709,69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119 709,69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100,00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Субсидии бюджетам городских округов на государственную поддержку организаций, входящих в систему спортивной подготовки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57020225081040000150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119 709,69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119 709,69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100,00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Субсидии бюджетам в целях софинансирования расходных обязательств, возникающих при осуществлении капитального ремонта объектов спортивной инфраструктуры государственной собственности субъектов Российской Федерации (муниципальной собственности)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00020225133000000150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30 329 001,78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27 199 663,75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89,68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Субсидии бюджетам городских округов в целях софинансирования расходных обязательств, возникающих при осуществлении капитального ремонта объектов спортивной инфраструктуры муниципальной собственности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57020225133040000150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30 329 001,78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27 199 663,75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89,68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Субсидии бюджетам на реализацию программ местного развития и обеспечение занятости для шахтерских городов и поселков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00020225156000000150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64 922 626,26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58 002 402,00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89,34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Субсидии бюджетам городских округов на реализацию программ местного развития и обеспечение занятости для шахтерских городов и поселков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51020225156040000150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64 922 626,26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58 002 402,00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89,34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Субсидии бюджетам на модернизацию региональных и муниципальных библиотек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00020225348000000150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6 742 244,90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5 340 306,12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79,21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Субсидии бюджетам городских округов на модернизацию региональных и муниципальных библиотек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53020225348040000150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6 742 244,90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5 340 306,12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79,21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Субсидии бюджетам на реализацию мероприятий по обеспечению жильем молодых семей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00020225497000000150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74 038 480,58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73 982 806,48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99,92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Субсидии бюджетам городских округов на реализацию мероприятий по обеспечению жильем молодых семей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51020225497040000150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74 038 480,58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73 982 806,48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99,92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Субсидии бюджетам на реализацию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00020225505000000150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15 239 307,90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15 239 307,90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100,00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Субсидии бюджетам городских округов на реализацию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51020225505040000150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15 239 307,90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15 239 307,90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100,00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Субсидии бюджетам на развитие сети учреждений культурно-досугового типа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00020225513000000150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10 204 081,63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10 204 081,63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100,00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Субсидии бюджетам городских округов на развитие сети учреждений культурно-досугового типа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53020225513040000150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10 204 081,63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10 204 081,63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100,00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Субсидии бюджетам на реализацию программ формирования современной городской среды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00020225555000000150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37 283 157,85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37 283 157,85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100,00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Субсидии бюджетам городских округов на реализацию программ формирования современной городской среды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51020225555040000150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37 283 157,85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37 283 157,85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100,00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Субсидии бюджетам на обеспечение комплексного развития сельских территорий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00020225576000000150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3 415 755,46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3 415 755,46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100,00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Субсидии бюджетам городских округов на обеспечение комплексного развития сельских территорий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51020225576040000150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3 415 755,46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3 415 755,46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100,00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Субсидии бюджетам городских округов на подготовку проектов межевания земельных участков и на проведение кадастровых работ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00020225599040000150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1 640 000,00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152 000,00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9,27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Субсидии бюджетам городских округов на подготовку проектов межевания земельных участков и на проведение кадастровых работ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51020225599040000150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1 640 000,00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152 000,00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9,27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Прочие субсидии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00020229999000000150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462 939 415,27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442 482 040,99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95,58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Прочие субсидии бюджетам городских округов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51020229999040000150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418 449 435,16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397 992 060,88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95,11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Прочие субсидии бюджетам городских округов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52020229999040000150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31 520 331,76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31 520 331,76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100,00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Прочие субсидии бюджетам городских округов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53020229999040000150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168 005,00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168 005,00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100,00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Прочие субсидии бюджетам городских округов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57020229999040000150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12 801 643,35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12 801 643,35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100,00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Субвенции бюджетам бюджетной системы Российской Федерации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00020230000000000150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2 229 856 407,93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2 210 071 298,77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99,11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Субвенции местным бюджетам на выполнение передаваемых полномочий субъектов Российской Федерации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00020230024000000150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2 017 974 681,93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1 998 189 572,87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99,02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Субвенции бюджетам городских округов на выполнение передаваемых полномочий субъектов Российской Федерации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51020230024040000150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121 488 450,68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116 551 568,91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95,94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Субвенции бюджетам городских округов на выполнение передаваемых полномочий субъектов Российской Федерации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52020230024040000150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1 896 486 231,25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1 881 638 003,96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99,22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00020230029000000150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26 806 520,00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26 806 520,00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100,00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52020230029040000150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26 806 520,00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26 806 520,00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100,00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Субвенции бюджетам муниципальных образований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00020235082000000150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63 756 000,00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63 756 000,00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100,00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Субвенции бюджетам городских округов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51020235082040000150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63 756 000,00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63 756 000,00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100,00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00020235120000000150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139 596,00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139 595,90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100,00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51020235120040000150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139 596,00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139 595,90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100,00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Субвенции бюджетам муниципальных образований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00020235304000000150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105 184 950,00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105 184 950,00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100,00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Субвенции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52020235304040000150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105 184 950,00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105 184 950,00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100,00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Субвенции бюджетам на государственную регистрацию актов гражданского состояния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00020235930000000150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9 862 903,00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9 862 903,00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100,00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Субвенции бюджетам городских округов на государственную регистрацию актов гражданского состояния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51020235930040000150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9 862 903,00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9 862 903,00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100,00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Единая субвенция местным бюджетам из бюджета субъекта Российской Федерации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00020236900000000150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4 643 890,00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4 643 890,00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100,00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Единая субвенция бюджетам городских округов из бюджета субъекта Российской Федерации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51020236900040000150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4 643 890,00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4 643 890,00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100,00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Прочие субвенции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00020239999000000150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1 487 867,00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1 487 867,00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100,00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Прочие субвенции бюджетам городских округов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51020239999040000150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1 487 867,00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1 487 867,00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100,00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Иные межбюджетные трансферты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00020240000000000150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97 547 094,27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95 890 689,87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98,30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00020245050000000150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2 343 600,00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2 183 600,00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93,17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52020245050040000150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2 343 600,00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2 183 600,00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93,17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00020245179000000150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9 125 188,17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8 325 188,17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91,23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52020245179040000150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9 125 188,17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8 325 188,17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91,23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Межбюджетные трансферты, передаваемые бюджетам на ежемесячное денежное вознаграждение за классное руководство педагогич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00020245303000000150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67 041 000,00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67 041 000,00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100,00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Межбюджетные трансферты, передаваемые бюджетам городских округов на ежемесячное денежное вознаграждение за классное руководство педагогич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52020245303040000150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67 041 000,00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67 041 000,00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100,00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Межбюджетные трансферты, передаваемые бюджетам, за счет средств резервного фонда Правительства Российской Федерации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00020249001000000150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2 637 408,00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2 637 408,00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100,00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Межбюджетные трансферты, передаваемые бюджетам городских округов, за счет средств резервного фонда Правительства Российской Федерации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51020249001040000150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2 637 408,00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2 637 408,00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100,00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Прочие межбюджетные трансферты, передаваемые бюджетам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00020249999000000150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16 399 898,10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15 703 493,70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95,75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Прочие межбюджетные трансферты, передаваемые бюджетам городских округов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51020249999040000150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11 739 898,10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11 123 541,48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94,75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Прочие межбюджетные трансферты, передаваемые бюджетам городских округов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52020249999040000150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4 660 000,00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4 579 952,22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98,28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ПРОЧИЕ БЕЗВОЗМЕЗДНЫЕ ПОСТУПЛЕНИЯ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00020700000000000000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6 824 800,00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7 525 758,50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110,27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Прочие безвозмездные поступления в бюджеты городских округов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00020704000040000150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6 824 800,00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7 525 758,50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110,27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Поступления от денежных пожертвований, предоставляемых физическими лицами получателям средств бюджетов городских округов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53020704020040000150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5 934 800,00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6 635 758,50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111,81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Поступления от денежных пожертвований, предоставляемых физическими лицами получателям средств бюджетов городских округов (ДШИ № 1)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53020704020040201150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1 847 800,00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2 363 650,00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127,92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Поступления от денежных пожертвований, предоставляемых физическими лицами получателям средств бюджетов городских округов (ДШИ № 2)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53020704020040202150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4 087 000,00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4 272 108,50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104,53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Прочие безвозмездные поступления в бюджеты городских округов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51020704050040000150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890 000,00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890 000,00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100,00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00021800000000000000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113 412,41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452 417,88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398,91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Доход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ы бюджетов городских округов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00021800000040000150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113 412,41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452 417,88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398,91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Доходы бюджетов городских округов от возврата бюджетными учреждениями остатков субсидий прошлых лет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52021804010040000150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113 412,41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452 417,88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398,91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ВОЗВРАТ ОСТАТКОВ СУБСИДИЙ, СУБВЕНЦИЙ И ИНЫХ МЕЖБЮДЖЕТНЫХ ТРАНСФЕРТОВ, ИМЕЮЩИХ ЦЕЛЕВОЕ НАЗНАЧЕНИЕ, ПРОШЛЫХ ЛЕТ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00021900000000000000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-114 219,79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-453 225,26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396,80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00021900000040000150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-114 219,79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-453 225,26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396,80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00021960010040000150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-114 219,79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-453 225,26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396,80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52021960010040000150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-114 219,79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-453 225,26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396,80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none" w:color="000000" w:sz="4" w:space="0"/>
              <w:right w:val="single" w:color="000000" w:sz="6" w:space="0"/>
            </w:tcBorders>
            <w:tcW w:w="7669" w:type="dxa"/>
            <w:vAlign w:val="bottom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Итого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722" w:type="dxa"/>
            <w:vAlign w:val="bottom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05" w:type="dxa"/>
            <w:vAlign w:val="bottom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7 646 707 505,31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2044" w:type="dxa"/>
            <w:vAlign w:val="bottom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7 408 889 436,75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1238" w:type="dxa"/>
            <w:textDirection w:val="lrTb"/>
            <w:noWrap w:val="false"/>
          </w:tcPr>
          <w:p>
            <w:pPr>
              <w:pStyle w:val="692"/>
              <w:numPr>
                <w:ilvl w:val="0"/>
                <w:numId w:val="0"/>
              </w:numPr>
              <w:contextualSpacing/>
              <w:ind w:left="0" w:firstLine="0"/>
              <w:jc w:val="left"/>
              <w:spacing w:before="0" w:after="0" w:afterAutospacing="0" w:line="240" w:lineRule="auto"/>
              <w:widowControl w:val="off"/>
              <w:outlineLvl w:val="3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</w:rPr>
              <w:t xml:space="preserve">96,89</w:t>
            </w:r>
            <w:r/>
          </w:p>
        </w:tc>
      </w:tr>
    </w:tbl>
    <w:p>
      <w:pPr>
        <w:pStyle w:val="692"/>
        <w:contextualSpacing/>
        <w:jc w:val="left"/>
        <w:spacing w:before="0" w:after="0"/>
        <w:widowControl w:val="off"/>
        <w:rPr>
          <w:vanish/>
        </w:rPr>
        <w:suppressLineNumbers w:val="0"/>
      </w:pPr>
      <w:r>
        <w:rPr>
          <w:vanish/>
        </w:rPr>
      </w:r>
      <w:r>
        <w:rPr>
          <w:vanish/>
        </w:rPr>
      </w:r>
      <w:r>
        <w:rPr>
          <w:vanish/>
        </w:rPr>
      </w:r>
    </w:p>
    <w:sectPr>
      <w:headerReference w:type="default" r:id="rId8"/>
      <w:headerReference w:type="even" r:id="rId9"/>
      <w:headerReference w:type="first" r:id="rId10"/>
      <w:footnotePr/>
      <w:endnotePr/>
      <w:type w:val="nextPage"/>
      <w:pgSz w:w="16838" w:h="11906" w:orient="landscape"/>
      <w:pgMar w:top="1559" w:right="765" w:bottom="850" w:left="624" w:header="709" w:footer="0" w:gutter="0"/>
      <w:pgNumType w:start="1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Tahoma">
    <w:panose1 w:val="020B0604030504040204"/>
  </w:font>
  <w:font w:name="Noto Sans Devanagari">
    <w:panose1 w:val="020B0502040504020204"/>
  </w:font>
  <w:font w:name="Segoe UI">
    <w:panose1 w:val="020B0502040504020204"/>
  </w:font>
  <w:font w:name="PT Astra Serif">
    <w:panose1 w:val="020A0603040505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45"/>
      <w:jc w:val="center"/>
      <w:rPr>
        <w:rFonts w:ascii="Liberation Serif" w:hAnsi="Liberation Serif" w:cs="Liberation Serif"/>
        <w:sz w:val="24"/>
        <w:szCs w:val="24"/>
      </w:rPr>
    </w:pPr>
    <w:fldSimple w:instr="PAGE \* MERGEFORMAT">
      <w:r>
        <w:rPr>
          <w:rFonts w:ascii="Liberation Serif" w:hAnsi="Liberation Serif" w:eastAsia="Liberation Serif" w:cs="Liberation Serif"/>
          <w:sz w:val="24"/>
          <w:szCs w:val="24"/>
        </w:rPr>
        <w:t xml:space="preserve">1</w:t>
      </w:r>
    </w:fldSimple>
    <w:r>
      <w:rPr>
        <w:rFonts w:ascii="Liberation Serif" w:hAnsi="Liberation Serif" w:eastAsia="Liberation Serif" w:cs="Liberation Serif"/>
        <w:sz w:val="24"/>
        <w:szCs w:val="24"/>
      </w:rPr>
    </w:r>
    <w:r>
      <w:rPr>
        <w:rFonts w:ascii="Liberation Serif" w:hAnsi="Liberation Serif" w:eastAsia="Liberation Serif" w:cs="Liberation Serif"/>
        <w:sz w:val="24"/>
        <w:szCs w:val="24"/>
      </w:rPr>
    </w:r>
  </w:p>
  <w:p>
    <w:pPr>
      <w:pStyle w:val="745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45"/>
      <w:spacing w:before="0" w:after="200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45"/>
      <w:spacing w:before="0" w:after="200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numbering" w:styleId="691">
    <w:name w:val="No List"/>
    <w:uiPriority w:val="99"/>
    <w:semiHidden/>
    <w:unhideWhenUsed/>
  </w:style>
  <w:style w:type="paragraph" w:styleId="692" w:default="1">
    <w:name w:val="Normal"/>
    <w:qFormat/>
    <w:pPr>
      <w:jc w:val="left"/>
      <w:spacing w:before="0" w:after="200" w:line="276" w:lineRule="auto"/>
      <w:widowControl/>
    </w:pPr>
    <w:rPr>
      <w:rFonts w:ascii="Calibri" w:hAnsi="Calibri" w:eastAsia="Calibri" w:cs="Times New Roman"/>
      <w:color w:val="auto"/>
      <w:sz w:val="22"/>
      <w:szCs w:val="22"/>
      <w:lang w:val="ru-RU" w:eastAsia="en-US" w:bidi="ar-SA"/>
    </w:rPr>
  </w:style>
  <w:style w:type="paragraph" w:styleId="693">
    <w:name w:val="Heading 1"/>
    <w:basedOn w:val="692"/>
    <w:next w:val="692"/>
    <w:link w:val="702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94">
    <w:name w:val="Heading 2"/>
    <w:basedOn w:val="692"/>
    <w:next w:val="692"/>
    <w:link w:val="70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95">
    <w:name w:val="Heading 3"/>
    <w:basedOn w:val="692"/>
    <w:next w:val="692"/>
    <w:link w:val="70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96">
    <w:name w:val="Heading 4"/>
    <w:basedOn w:val="692"/>
    <w:next w:val="692"/>
    <w:link w:val="70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97">
    <w:name w:val="Heading 5"/>
    <w:basedOn w:val="692"/>
    <w:next w:val="692"/>
    <w:link w:val="70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98">
    <w:name w:val="Heading 6"/>
    <w:basedOn w:val="692"/>
    <w:next w:val="692"/>
    <w:link w:val="70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99">
    <w:name w:val="Heading 7"/>
    <w:basedOn w:val="692"/>
    <w:next w:val="692"/>
    <w:link w:val="70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00">
    <w:name w:val="Heading 8"/>
    <w:basedOn w:val="692"/>
    <w:next w:val="692"/>
    <w:link w:val="70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01">
    <w:name w:val="Heading 9"/>
    <w:basedOn w:val="692"/>
    <w:next w:val="692"/>
    <w:link w:val="71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2">
    <w:name w:val="Heading 1 Char"/>
    <w:uiPriority w:val="9"/>
    <w:qFormat/>
    <w:rPr>
      <w:rFonts w:ascii="Arial" w:hAnsi="Arial" w:eastAsia="Arial" w:cs="Arial"/>
      <w:sz w:val="40"/>
      <w:szCs w:val="40"/>
    </w:rPr>
  </w:style>
  <w:style w:type="character" w:styleId="703">
    <w:name w:val="Heading 2 Char"/>
    <w:uiPriority w:val="9"/>
    <w:qFormat/>
    <w:rPr>
      <w:rFonts w:ascii="Arial" w:hAnsi="Arial" w:eastAsia="Arial" w:cs="Arial"/>
      <w:sz w:val="34"/>
    </w:rPr>
  </w:style>
  <w:style w:type="character" w:styleId="704">
    <w:name w:val="Heading 3 Char"/>
    <w:uiPriority w:val="9"/>
    <w:qFormat/>
    <w:rPr>
      <w:rFonts w:ascii="Arial" w:hAnsi="Arial" w:eastAsia="Arial" w:cs="Arial"/>
      <w:sz w:val="30"/>
      <w:szCs w:val="30"/>
    </w:rPr>
  </w:style>
  <w:style w:type="character" w:styleId="705">
    <w:name w:val="Heading 4 Char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706">
    <w:name w:val="Heading 5 Char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707">
    <w:name w:val="Heading 6 Char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08">
    <w:name w:val="Heading 7 Char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709">
    <w:name w:val="Heading 8 Char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710">
    <w:name w:val="Heading 9 Char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711">
    <w:name w:val="Title Char"/>
    <w:uiPriority w:val="10"/>
    <w:qFormat/>
    <w:rPr>
      <w:sz w:val="48"/>
      <w:szCs w:val="48"/>
    </w:rPr>
  </w:style>
  <w:style w:type="character" w:styleId="712">
    <w:name w:val="Subtitle Char"/>
    <w:uiPriority w:val="11"/>
    <w:qFormat/>
    <w:rPr>
      <w:sz w:val="24"/>
      <w:szCs w:val="24"/>
    </w:rPr>
  </w:style>
  <w:style w:type="character" w:styleId="713">
    <w:name w:val="Quote Char"/>
    <w:link w:val="742"/>
    <w:uiPriority w:val="29"/>
    <w:qFormat/>
    <w:rPr>
      <w:i/>
    </w:rPr>
  </w:style>
  <w:style w:type="character" w:styleId="714">
    <w:name w:val="Intense Quote Char"/>
    <w:link w:val="743"/>
    <w:uiPriority w:val="30"/>
    <w:qFormat/>
    <w:rPr>
      <w:i/>
    </w:rPr>
  </w:style>
  <w:style w:type="character" w:styleId="715">
    <w:name w:val="Header Char"/>
    <w:uiPriority w:val="99"/>
    <w:qFormat/>
  </w:style>
  <w:style w:type="character" w:styleId="716">
    <w:name w:val="Footer Char"/>
    <w:uiPriority w:val="99"/>
    <w:qFormat/>
  </w:style>
  <w:style w:type="character" w:styleId="717">
    <w:name w:val="Caption Char"/>
    <w:uiPriority w:val="35"/>
    <w:qFormat/>
    <w:rPr>
      <w:b/>
      <w:bCs/>
      <w:color w:val="4f81bd" w:themeColor="accent1"/>
      <w:sz w:val="18"/>
      <w:szCs w:val="18"/>
    </w:rPr>
  </w:style>
  <w:style w:type="character" w:styleId="718">
    <w:name w:val="Hyperlink"/>
    <w:uiPriority w:val="99"/>
    <w:unhideWhenUsed/>
    <w:rPr>
      <w:color w:val="0000ff" w:themeColor="hyperlink"/>
      <w:u w:val="single"/>
    </w:rPr>
  </w:style>
  <w:style w:type="character" w:styleId="719">
    <w:name w:val="Footnote Text Char"/>
    <w:uiPriority w:val="99"/>
    <w:qFormat/>
    <w:rPr>
      <w:sz w:val="18"/>
    </w:rPr>
  </w:style>
  <w:style w:type="character" w:styleId="720">
    <w:name w:val="Символ сноски"/>
    <w:uiPriority w:val="99"/>
    <w:unhideWhenUsed/>
    <w:qFormat/>
    <w:rPr>
      <w:vertAlign w:val="superscript"/>
    </w:rPr>
  </w:style>
  <w:style w:type="character" w:styleId="721">
    <w:name w:val="footnote reference"/>
    <w:rPr>
      <w:vertAlign w:val="superscript"/>
    </w:rPr>
  </w:style>
  <w:style w:type="character" w:styleId="722">
    <w:name w:val="Endnote Text Char"/>
    <w:uiPriority w:val="99"/>
    <w:qFormat/>
    <w:rPr>
      <w:sz w:val="20"/>
    </w:rPr>
  </w:style>
  <w:style w:type="character" w:styleId="723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724">
    <w:name w:val="endnote reference"/>
    <w:rPr>
      <w:vertAlign w:val="superscript"/>
    </w:rPr>
  </w:style>
  <w:style w:type="character" w:styleId="725">
    <w:name w:val="Основной шрифт абзаца"/>
    <w:uiPriority w:val="1"/>
    <w:semiHidden/>
    <w:unhideWhenUsed/>
    <w:qFormat/>
  </w:style>
  <w:style w:type="character" w:styleId="726">
    <w:name w:val="Верхний колонтитул Знак"/>
    <w:uiPriority w:val="99"/>
    <w:qFormat/>
    <w:rPr>
      <w:sz w:val="22"/>
      <w:szCs w:val="22"/>
      <w:lang w:eastAsia="en-US"/>
    </w:rPr>
  </w:style>
  <w:style w:type="character" w:styleId="727">
    <w:name w:val="Нижний колонтитул Знак"/>
    <w:uiPriority w:val="99"/>
    <w:semiHidden/>
    <w:qFormat/>
    <w:rPr>
      <w:sz w:val="22"/>
      <w:szCs w:val="22"/>
      <w:lang w:eastAsia="en-US"/>
    </w:rPr>
  </w:style>
  <w:style w:type="character" w:styleId="728">
    <w:name w:val="Гиперссылка"/>
    <w:uiPriority w:val="99"/>
    <w:semiHidden/>
    <w:unhideWhenUsed/>
    <w:qFormat/>
    <w:rPr>
      <w:color w:val="0000ff"/>
      <w:u w:val="single"/>
    </w:rPr>
  </w:style>
  <w:style w:type="character" w:styleId="729">
    <w:name w:val="Просмотренная гиперссылка"/>
    <w:uiPriority w:val="99"/>
    <w:semiHidden/>
    <w:unhideWhenUsed/>
    <w:qFormat/>
    <w:rPr>
      <w:color w:val="800080"/>
      <w:u w:val="single"/>
    </w:rPr>
  </w:style>
  <w:style w:type="character" w:styleId="730">
    <w:name w:val="Текст выноски Знак"/>
    <w:link w:val="813"/>
    <w:uiPriority w:val="99"/>
    <w:semiHidden/>
    <w:qFormat/>
    <w:rPr>
      <w:rFonts w:ascii="Segoe UI" w:hAnsi="Segoe UI" w:cs="Segoe UI"/>
      <w:sz w:val="18"/>
      <w:szCs w:val="18"/>
      <w:lang w:eastAsia="en-US"/>
    </w:rPr>
  </w:style>
  <w:style w:type="character" w:styleId="731" w:default="1">
    <w:name w:val="Default Paragraph Font"/>
    <w:uiPriority w:val="1"/>
    <w:semiHidden/>
    <w:unhideWhenUsed/>
    <w:qFormat/>
  </w:style>
  <w:style w:type="character" w:styleId="732">
    <w:name w:val="Символ нумерации"/>
    <w:qFormat/>
  </w:style>
  <w:style w:type="paragraph" w:styleId="733">
    <w:name w:val="Заголовок"/>
    <w:basedOn w:val="692"/>
    <w:next w:val="734"/>
    <w:qFormat/>
    <w:pPr>
      <w:keepNext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734">
    <w:name w:val="Body Text"/>
    <w:basedOn w:val="692"/>
    <w:pPr>
      <w:spacing w:before="0" w:after="140" w:line="276" w:lineRule="auto"/>
    </w:pPr>
  </w:style>
  <w:style w:type="paragraph" w:styleId="735">
    <w:name w:val="List"/>
    <w:basedOn w:val="734"/>
    <w:rPr>
      <w:rFonts w:ascii="PT Astra Serif" w:hAnsi="PT Astra Serif" w:cs="Noto Sans Devanagari"/>
    </w:rPr>
  </w:style>
  <w:style w:type="paragraph" w:styleId="736">
    <w:name w:val="Caption"/>
    <w:basedOn w:val="692"/>
    <w:next w:val="692"/>
    <w:link w:val="71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737">
    <w:name w:val="Указатель"/>
    <w:basedOn w:val="692"/>
    <w:qFormat/>
    <w:pPr>
      <w:suppressLineNumbers/>
    </w:pPr>
    <w:rPr>
      <w:rFonts w:ascii="PT Astra Serif" w:hAnsi="PT Astra Serif" w:cs="Noto Sans Devanagari"/>
    </w:rPr>
  </w:style>
  <w:style w:type="paragraph" w:styleId="738">
    <w:name w:val="List Paragraph"/>
    <w:basedOn w:val="692"/>
    <w:uiPriority w:val="34"/>
    <w:qFormat/>
    <w:pPr>
      <w:contextualSpacing/>
      <w:ind w:left="720"/>
      <w:spacing w:before="0" w:after="0"/>
    </w:pPr>
  </w:style>
  <w:style w:type="paragraph" w:styleId="739">
    <w:name w:val="No Spacing"/>
    <w:uiPriority w:val="1"/>
    <w:qFormat/>
    <w:pPr>
      <w:jc w:val="left"/>
      <w:spacing w:before="0" w:after="0" w:line="240" w:lineRule="auto"/>
      <w:widowControl/>
    </w:pPr>
    <w:rPr>
      <w:rFonts w:ascii="Calibri" w:hAnsi="Calibri" w:eastAsia="Calibri" w:cs="Times New Roman"/>
      <w:color w:val="auto"/>
      <w:sz w:val="20"/>
      <w:szCs w:val="20"/>
      <w:lang w:val="ru-RU" w:eastAsia="zh-CN" w:bidi="ar-SA"/>
    </w:rPr>
  </w:style>
  <w:style w:type="paragraph" w:styleId="740">
    <w:name w:val="Title"/>
    <w:basedOn w:val="692"/>
    <w:next w:val="692"/>
    <w:link w:val="711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741">
    <w:name w:val="Subtitle"/>
    <w:basedOn w:val="692"/>
    <w:next w:val="692"/>
    <w:link w:val="712"/>
    <w:uiPriority w:val="11"/>
    <w:qFormat/>
    <w:pPr>
      <w:spacing w:before="200" w:after="200"/>
    </w:pPr>
    <w:rPr>
      <w:sz w:val="24"/>
      <w:szCs w:val="24"/>
    </w:rPr>
  </w:style>
  <w:style w:type="paragraph" w:styleId="742">
    <w:name w:val="Quote"/>
    <w:basedOn w:val="692"/>
    <w:next w:val="692"/>
    <w:link w:val="713"/>
    <w:uiPriority w:val="29"/>
    <w:qFormat/>
    <w:pPr>
      <w:ind w:left="720" w:right="720"/>
    </w:pPr>
    <w:rPr>
      <w:i/>
    </w:rPr>
  </w:style>
  <w:style w:type="paragraph" w:styleId="743">
    <w:name w:val="Intense Quote"/>
    <w:basedOn w:val="692"/>
    <w:next w:val="692"/>
    <w:link w:val="714"/>
    <w:uiPriority w:val="30"/>
    <w:qFormat/>
    <w:pPr>
      <w:ind w:left="720" w:right="720"/>
      <w:spacing w:before="0" w:after="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744">
    <w:name w:val="Header and Footer"/>
    <w:basedOn w:val="692"/>
    <w:qFormat/>
  </w:style>
  <w:style w:type="paragraph" w:styleId="745">
    <w:name w:val="Header"/>
    <w:basedOn w:val="692"/>
    <w:link w:val="726"/>
    <w:uiPriority w:val="99"/>
    <w:unhideWhenUsed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746">
    <w:name w:val="Footer"/>
    <w:basedOn w:val="692"/>
    <w:link w:val="727"/>
    <w:uiPriority w:val="99"/>
    <w:semiHidden/>
    <w:unhideWhenUsed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747">
    <w:name w:val="footnote text"/>
    <w:basedOn w:val="692"/>
    <w:link w:val="719"/>
    <w:uiPriority w:val="99"/>
    <w:semiHidden/>
    <w:unhideWhenUsed/>
    <w:pPr>
      <w:spacing w:before="0" w:after="40" w:line="240" w:lineRule="auto"/>
    </w:pPr>
    <w:rPr>
      <w:sz w:val="18"/>
    </w:rPr>
  </w:style>
  <w:style w:type="paragraph" w:styleId="748">
    <w:name w:val="endnote text"/>
    <w:basedOn w:val="692"/>
    <w:link w:val="722"/>
    <w:uiPriority w:val="99"/>
    <w:semiHidden/>
    <w:unhideWhenUsed/>
    <w:pPr>
      <w:spacing w:before="0" w:after="0" w:line="240" w:lineRule="auto"/>
    </w:pPr>
    <w:rPr>
      <w:sz w:val="20"/>
    </w:rPr>
  </w:style>
  <w:style w:type="paragraph" w:styleId="749">
    <w:name w:val="toc 1"/>
    <w:basedOn w:val="692"/>
    <w:next w:val="692"/>
    <w:uiPriority w:val="39"/>
    <w:unhideWhenUsed/>
    <w:pPr>
      <w:ind w:left="0" w:right="0" w:firstLine="0"/>
      <w:spacing w:before="0" w:after="57"/>
    </w:pPr>
  </w:style>
  <w:style w:type="paragraph" w:styleId="750">
    <w:name w:val="toc 2"/>
    <w:basedOn w:val="692"/>
    <w:next w:val="692"/>
    <w:uiPriority w:val="39"/>
    <w:unhideWhenUsed/>
    <w:pPr>
      <w:ind w:left="283" w:right="0" w:firstLine="0"/>
      <w:spacing w:before="0" w:after="57"/>
    </w:pPr>
  </w:style>
  <w:style w:type="paragraph" w:styleId="751">
    <w:name w:val="toc 3"/>
    <w:basedOn w:val="692"/>
    <w:next w:val="692"/>
    <w:uiPriority w:val="39"/>
    <w:unhideWhenUsed/>
    <w:pPr>
      <w:ind w:left="567" w:right="0" w:firstLine="0"/>
      <w:spacing w:before="0" w:after="57"/>
    </w:pPr>
  </w:style>
  <w:style w:type="paragraph" w:styleId="752">
    <w:name w:val="toc 4"/>
    <w:basedOn w:val="692"/>
    <w:next w:val="692"/>
    <w:uiPriority w:val="39"/>
    <w:unhideWhenUsed/>
    <w:pPr>
      <w:ind w:left="850" w:right="0" w:firstLine="0"/>
      <w:spacing w:before="0" w:after="57"/>
    </w:pPr>
  </w:style>
  <w:style w:type="paragraph" w:styleId="753">
    <w:name w:val="toc 5"/>
    <w:basedOn w:val="692"/>
    <w:next w:val="692"/>
    <w:uiPriority w:val="39"/>
    <w:unhideWhenUsed/>
    <w:pPr>
      <w:ind w:left="1134" w:right="0" w:firstLine="0"/>
      <w:spacing w:before="0" w:after="57"/>
    </w:pPr>
  </w:style>
  <w:style w:type="paragraph" w:styleId="754">
    <w:name w:val="toc 6"/>
    <w:basedOn w:val="692"/>
    <w:next w:val="692"/>
    <w:uiPriority w:val="39"/>
    <w:unhideWhenUsed/>
    <w:pPr>
      <w:ind w:left="1417" w:right="0" w:firstLine="0"/>
      <w:spacing w:before="0" w:after="57"/>
    </w:pPr>
  </w:style>
  <w:style w:type="paragraph" w:styleId="755">
    <w:name w:val="toc 7"/>
    <w:basedOn w:val="692"/>
    <w:next w:val="692"/>
    <w:uiPriority w:val="39"/>
    <w:unhideWhenUsed/>
    <w:pPr>
      <w:ind w:left="1701" w:right="0" w:firstLine="0"/>
      <w:spacing w:before="0" w:after="57"/>
    </w:pPr>
  </w:style>
  <w:style w:type="paragraph" w:styleId="756">
    <w:name w:val="toc 8"/>
    <w:basedOn w:val="692"/>
    <w:next w:val="692"/>
    <w:uiPriority w:val="39"/>
    <w:unhideWhenUsed/>
    <w:pPr>
      <w:ind w:left="1984" w:right="0" w:firstLine="0"/>
      <w:spacing w:before="0" w:after="57"/>
    </w:pPr>
  </w:style>
  <w:style w:type="paragraph" w:styleId="757">
    <w:name w:val="toc 9"/>
    <w:basedOn w:val="692"/>
    <w:next w:val="692"/>
    <w:uiPriority w:val="39"/>
    <w:unhideWhenUsed/>
    <w:pPr>
      <w:ind w:left="2268" w:right="0" w:firstLine="0"/>
      <w:spacing w:before="0" w:after="57"/>
    </w:pPr>
  </w:style>
  <w:style w:type="paragraph" w:styleId="758">
    <w:name w:val="index heading"/>
    <w:basedOn w:val="733"/>
  </w:style>
  <w:style w:type="paragraph" w:styleId="759">
    <w:name w:val="TOC Heading"/>
    <w:uiPriority w:val="39"/>
    <w:unhideWhenUsed/>
    <w:qFormat/>
    <w:pPr>
      <w:jc w:val="left"/>
      <w:spacing w:before="0" w:after="0"/>
      <w:widowControl/>
    </w:pPr>
    <w:rPr>
      <w:rFonts w:ascii="Calibri" w:hAnsi="Calibri" w:eastAsia="Calibri" w:cs="Times New Roman"/>
      <w:color w:val="auto"/>
      <w:sz w:val="20"/>
      <w:szCs w:val="20"/>
      <w:lang w:val="ru-RU" w:eastAsia="zh-CN" w:bidi="ar-SA"/>
    </w:rPr>
  </w:style>
  <w:style w:type="paragraph" w:styleId="760">
    <w:name w:val="table of figures"/>
    <w:basedOn w:val="692"/>
    <w:next w:val="692"/>
    <w:uiPriority w:val="99"/>
    <w:unhideWhenUsed/>
    <w:pPr>
      <w:spacing w:before="0" w:after="0" w:afterAutospacing="0"/>
    </w:pPr>
  </w:style>
  <w:style w:type="paragraph" w:styleId="761">
    <w:name w:val="msonormal"/>
    <w:basedOn w:val="692"/>
    <w:qFormat/>
    <w:pPr>
      <w:spacing w:beforeAutospacing="1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762">
    <w:name w:val="xl434"/>
    <w:basedOn w:val="692"/>
    <w:qFormat/>
    <w:pPr>
      <w:spacing w:beforeAutospacing="1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763">
    <w:name w:val="xl435"/>
    <w:basedOn w:val="692"/>
    <w:qFormat/>
    <w:pPr>
      <w:jc w:val="center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0"/>
      <w:szCs w:val="20"/>
      <w:lang w:eastAsia="ru-RU"/>
    </w:rPr>
  </w:style>
  <w:style w:type="paragraph" w:styleId="764">
    <w:name w:val="xl436"/>
    <w:basedOn w:val="692"/>
    <w:qFormat/>
    <w:pPr>
      <w:jc w:val="center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0"/>
      <w:szCs w:val="20"/>
      <w:lang w:eastAsia="ru-RU"/>
    </w:rPr>
  </w:style>
  <w:style w:type="paragraph" w:styleId="765">
    <w:name w:val="xl437"/>
    <w:basedOn w:val="692"/>
    <w:qFormat/>
    <w:pPr>
      <w:jc w:val="center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0"/>
      <w:szCs w:val="20"/>
      <w:lang w:eastAsia="ru-RU"/>
    </w:rPr>
  </w:style>
  <w:style w:type="paragraph" w:styleId="766">
    <w:name w:val="xl438"/>
    <w:basedOn w:val="692"/>
    <w:qFormat/>
    <w:pPr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767">
    <w:name w:val="xl439"/>
    <w:basedOn w:val="692"/>
    <w:qFormat/>
    <w:pPr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4"/>
      <w:szCs w:val="24"/>
      <w:lang w:eastAsia="ru-RU"/>
    </w:rPr>
  </w:style>
  <w:style w:type="paragraph" w:styleId="768">
    <w:name w:val="xl440"/>
    <w:basedOn w:val="692"/>
    <w:qFormat/>
    <w:pPr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4"/>
      <w:szCs w:val="24"/>
      <w:lang w:eastAsia="ru-RU"/>
    </w:rPr>
  </w:style>
  <w:style w:type="paragraph" w:styleId="769">
    <w:name w:val="xl441"/>
    <w:basedOn w:val="692"/>
    <w:qFormat/>
    <w:pPr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770">
    <w:name w:val="xl442"/>
    <w:basedOn w:val="692"/>
    <w:qFormat/>
    <w:pPr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4"/>
      <w:szCs w:val="24"/>
      <w:lang w:eastAsia="ru-RU"/>
    </w:rPr>
  </w:style>
  <w:style w:type="paragraph" w:styleId="771">
    <w:name w:val="xl443"/>
    <w:basedOn w:val="692"/>
    <w:qFormat/>
    <w:pPr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4"/>
      <w:szCs w:val="24"/>
      <w:lang w:eastAsia="ru-RU"/>
    </w:rPr>
  </w:style>
  <w:style w:type="paragraph" w:styleId="772">
    <w:name w:val="xl444"/>
    <w:basedOn w:val="692"/>
    <w:qFormat/>
    <w:pPr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4"/>
      <w:szCs w:val="24"/>
      <w:lang w:eastAsia="ru-RU"/>
    </w:rPr>
  </w:style>
  <w:style w:type="paragraph" w:styleId="773">
    <w:name w:val="xl445"/>
    <w:basedOn w:val="692"/>
    <w:qFormat/>
    <w:pPr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774">
    <w:name w:val="xl446"/>
    <w:basedOn w:val="692"/>
    <w:qFormat/>
    <w:pPr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4"/>
      <w:szCs w:val="24"/>
      <w:lang w:eastAsia="ru-RU"/>
    </w:rPr>
  </w:style>
  <w:style w:type="paragraph" w:styleId="775">
    <w:name w:val="xl447"/>
    <w:basedOn w:val="692"/>
    <w:qFormat/>
    <w:pPr>
      <w:spacing w:beforeAutospacing="1" w:afterAutospacing="1" w:line="240" w:lineRule="auto"/>
    </w:pPr>
    <w:rPr>
      <w:rFonts w:ascii="Times New Roman" w:hAnsi="Times New Roman" w:eastAsia="Times New Roman"/>
      <w:color w:val="ff0000"/>
      <w:sz w:val="24"/>
      <w:szCs w:val="24"/>
      <w:lang w:eastAsia="ru-RU"/>
    </w:rPr>
  </w:style>
  <w:style w:type="paragraph" w:styleId="776">
    <w:name w:val="xl448"/>
    <w:basedOn w:val="692"/>
    <w:qFormat/>
    <w:pPr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color w:val="ff0000"/>
      <w:sz w:val="24"/>
      <w:szCs w:val="24"/>
      <w:lang w:eastAsia="ru-RU"/>
    </w:rPr>
  </w:style>
  <w:style w:type="paragraph" w:styleId="777">
    <w:name w:val="xl449"/>
    <w:basedOn w:val="692"/>
    <w:qFormat/>
    <w:pPr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color w:val="ff0000"/>
      <w:sz w:val="24"/>
      <w:szCs w:val="24"/>
      <w:lang w:eastAsia="ru-RU"/>
    </w:rPr>
  </w:style>
  <w:style w:type="paragraph" w:styleId="778">
    <w:name w:val="xl450"/>
    <w:basedOn w:val="692"/>
    <w:qFormat/>
    <w:pPr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color w:val="ff0000"/>
      <w:sz w:val="24"/>
      <w:szCs w:val="24"/>
      <w:lang w:eastAsia="ru-RU"/>
    </w:rPr>
  </w:style>
  <w:style w:type="paragraph" w:styleId="779">
    <w:name w:val="xl451"/>
    <w:basedOn w:val="692"/>
    <w:qFormat/>
    <w:pPr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4"/>
      <w:szCs w:val="24"/>
      <w:lang w:eastAsia="ru-RU"/>
    </w:rPr>
  </w:style>
  <w:style w:type="paragraph" w:styleId="780">
    <w:name w:val="xl452"/>
    <w:basedOn w:val="692"/>
    <w:qFormat/>
    <w:pPr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4"/>
      <w:szCs w:val="24"/>
      <w:lang w:eastAsia="ru-RU"/>
    </w:rPr>
  </w:style>
  <w:style w:type="paragraph" w:styleId="781">
    <w:name w:val="xl453"/>
    <w:basedOn w:val="692"/>
    <w:qFormat/>
    <w:pPr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4"/>
      <w:szCs w:val="24"/>
      <w:lang w:eastAsia="ru-RU"/>
    </w:rPr>
  </w:style>
  <w:style w:type="paragraph" w:styleId="782">
    <w:name w:val="xl454"/>
    <w:basedOn w:val="692"/>
    <w:qFormat/>
    <w:pPr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4"/>
      <w:szCs w:val="24"/>
      <w:lang w:eastAsia="ru-RU"/>
    </w:rPr>
  </w:style>
  <w:style w:type="paragraph" w:styleId="783">
    <w:name w:val="xl455"/>
    <w:basedOn w:val="692"/>
    <w:qFormat/>
    <w:pPr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784">
    <w:name w:val="xl456"/>
    <w:basedOn w:val="692"/>
    <w:qFormat/>
    <w:pPr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785">
    <w:name w:val="xl457"/>
    <w:basedOn w:val="692"/>
    <w:qFormat/>
    <w:pPr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786">
    <w:name w:val="xl458"/>
    <w:basedOn w:val="692"/>
    <w:qFormat/>
    <w:pPr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787">
    <w:name w:val="xl459"/>
    <w:basedOn w:val="692"/>
    <w:qFormat/>
    <w:pPr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788">
    <w:name w:val="xl460"/>
    <w:basedOn w:val="692"/>
    <w:qFormat/>
    <w:pPr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789">
    <w:name w:val="xl461"/>
    <w:basedOn w:val="692"/>
    <w:qFormat/>
    <w:pPr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4"/>
      <w:szCs w:val="24"/>
      <w:lang w:eastAsia="ru-RU"/>
    </w:rPr>
  </w:style>
  <w:style w:type="paragraph" w:styleId="790">
    <w:name w:val="xl462"/>
    <w:basedOn w:val="692"/>
    <w:qFormat/>
    <w:pPr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791">
    <w:name w:val="xl463"/>
    <w:basedOn w:val="692"/>
    <w:qFormat/>
    <w:pPr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792">
    <w:name w:val="xl464"/>
    <w:basedOn w:val="692"/>
    <w:qFormat/>
    <w:pPr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793">
    <w:name w:val="xl465"/>
    <w:basedOn w:val="692"/>
    <w:qFormat/>
    <w:pPr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794">
    <w:name w:val="xl466"/>
    <w:basedOn w:val="692"/>
    <w:qFormat/>
    <w:pPr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795">
    <w:name w:val="xl467"/>
    <w:basedOn w:val="692"/>
    <w:qFormat/>
    <w:pPr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4"/>
      <w:szCs w:val="24"/>
      <w:lang w:eastAsia="ru-RU"/>
    </w:rPr>
  </w:style>
  <w:style w:type="paragraph" w:styleId="796">
    <w:name w:val="xl468"/>
    <w:basedOn w:val="692"/>
    <w:qFormat/>
    <w:pPr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4"/>
      <w:szCs w:val="24"/>
      <w:lang w:eastAsia="ru-RU"/>
    </w:rPr>
  </w:style>
  <w:style w:type="paragraph" w:styleId="797">
    <w:name w:val="xl469"/>
    <w:basedOn w:val="692"/>
    <w:qFormat/>
    <w:pPr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4"/>
      <w:szCs w:val="24"/>
      <w:lang w:eastAsia="ru-RU"/>
    </w:rPr>
  </w:style>
  <w:style w:type="paragraph" w:styleId="798">
    <w:name w:val="xl470"/>
    <w:basedOn w:val="692"/>
    <w:qFormat/>
    <w:pPr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4"/>
      <w:szCs w:val="24"/>
      <w:lang w:eastAsia="ru-RU"/>
    </w:rPr>
  </w:style>
  <w:style w:type="paragraph" w:styleId="799">
    <w:name w:val="xl471"/>
    <w:basedOn w:val="692"/>
    <w:qFormat/>
    <w:pPr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4"/>
      <w:szCs w:val="24"/>
      <w:lang w:eastAsia="ru-RU"/>
    </w:rPr>
  </w:style>
  <w:style w:type="paragraph" w:styleId="800">
    <w:name w:val="xl472"/>
    <w:basedOn w:val="692"/>
    <w:qFormat/>
    <w:pPr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color w:val="ff0000"/>
      <w:sz w:val="24"/>
      <w:szCs w:val="24"/>
      <w:lang w:eastAsia="ru-RU"/>
    </w:rPr>
  </w:style>
  <w:style w:type="paragraph" w:styleId="801">
    <w:name w:val="xl473"/>
    <w:basedOn w:val="692"/>
    <w:qFormat/>
    <w:pPr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4"/>
      <w:szCs w:val="24"/>
      <w:lang w:eastAsia="ru-RU"/>
    </w:rPr>
  </w:style>
  <w:style w:type="paragraph" w:styleId="802">
    <w:name w:val="xl474"/>
    <w:basedOn w:val="692"/>
    <w:qFormat/>
    <w:pPr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803">
    <w:name w:val="xl475"/>
    <w:basedOn w:val="692"/>
    <w:qFormat/>
    <w:pPr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color w:val="ff0000"/>
      <w:sz w:val="24"/>
      <w:szCs w:val="24"/>
      <w:lang w:eastAsia="ru-RU"/>
    </w:rPr>
  </w:style>
  <w:style w:type="paragraph" w:styleId="804">
    <w:name w:val="xl476"/>
    <w:basedOn w:val="692"/>
    <w:qFormat/>
    <w:pPr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color w:val="ff0000"/>
      <w:sz w:val="24"/>
      <w:szCs w:val="24"/>
      <w:lang w:eastAsia="ru-RU"/>
    </w:rPr>
  </w:style>
  <w:style w:type="paragraph" w:styleId="805">
    <w:name w:val="xl477"/>
    <w:basedOn w:val="692"/>
    <w:qFormat/>
    <w:pPr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color w:val="ff0000"/>
      <w:sz w:val="24"/>
      <w:szCs w:val="24"/>
      <w:lang w:eastAsia="ru-RU"/>
    </w:rPr>
  </w:style>
  <w:style w:type="paragraph" w:styleId="806">
    <w:name w:val="xl478"/>
    <w:basedOn w:val="692"/>
    <w:qFormat/>
    <w:pPr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color w:val="ff0000"/>
      <w:sz w:val="24"/>
      <w:szCs w:val="24"/>
      <w:lang w:eastAsia="ru-RU"/>
    </w:rPr>
  </w:style>
  <w:style w:type="paragraph" w:styleId="807">
    <w:name w:val="xl479"/>
    <w:basedOn w:val="692"/>
    <w:qFormat/>
    <w:pPr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color w:val="ff0000"/>
      <w:sz w:val="24"/>
      <w:szCs w:val="24"/>
      <w:lang w:eastAsia="ru-RU"/>
    </w:rPr>
  </w:style>
  <w:style w:type="paragraph" w:styleId="808">
    <w:name w:val="xl480"/>
    <w:basedOn w:val="692"/>
    <w:qFormat/>
    <w:pPr>
      <w:jc w:val="center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0"/>
      <w:szCs w:val="20"/>
      <w:lang w:eastAsia="ru-RU"/>
    </w:rPr>
  </w:style>
  <w:style w:type="paragraph" w:styleId="809">
    <w:name w:val="xl481"/>
    <w:basedOn w:val="692"/>
    <w:qFormat/>
    <w:pPr>
      <w:jc w:val="center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0"/>
      <w:szCs w:val="20"/>
      <w:lang w:eastAsia="ru-RU"/>
    </w:rPr>
  </w:style>
  <w:style w:type="paragraph" w:styleId="810">
    <w:name w:val="xl482"/>
    <w:basedOn w:val="692"/>
    <w:qFormat/>
    <w:pPr>
      <w:jc w:val="center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0"/>
      <w:szCs w:val="20"/>
      <w:lang w:eastAsia="ru-RU"/>
    </w:rPr>
  </w:style>
  <w:style w:type="paragraph" w:styleId="811">
    <w:name w:val="xl483"/>
    <w:basedOn w:val="692"/>
    <w:qFormat/>
    <w:pPr>
      <w:jc w:val="center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0"/>
      <w:szCs w:val="20"/>
      <w:lang w:eastAsia="ru-RU"/>
    </w:rPr>
  </w:style>
  <w:style w:type="paragraph" w:styleId="812">
    <w:name w:val="xl484"/>
    <w:basedOn w:val="692"/>
    <w:qFormat/>
    <w:pPr>
      <w:jc w:val="center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813">
    <w:name w:val="Текст выноски"/>
    <w:basedOn w:val="692"/>
    <w:link w:val="730"/>
    <w:uiPriority w:val="99"/>
    <w:semiHidden/>
    <w:unhideWhenUsed/>
    <w:qFormat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paragraph" w:styleId="814">
    <w:name w:val="Содержимое врезки"/>
    <w:basedOn w:val="692"/>
    <w:qFormat/>
  </w:style>
  <w:style w:type="paragraph" w:styleId="815">
    <w:name w:val="Содержимое таблицы"/>
    <w:basedOn w:val="692"/>
    <w:qFormat/>
    <w:pPr>
      <w:widowControl w:val="off"/>
      <w:suppressLineNumbers/>
    </w:pPr>
  </w:style>
  <w:style w:type="paragraph" w:styleId="816">
    <w:name w:val="Заголовок таблицы"/>
    <w:basedOn w:val="815"/>
    <w:qFormat/>
    <w:pPr>
      <w:jc w:val="center"/>
      <w:suppressLineNumbers/>
    </w:pPr>
    <w:rPr>
      <w:b/>
      <w:bCs/>
    </w:rPr>
  </w:style>
  <w:style w:type="numbering" w:styleId="817" w:default="1">
    <w:name w:val="Без списка"/>
    <w:uiPriority w:val="99"/>
    <w:semiHidden/>
    <w:unhideWhenUsed/>
    <w:qFormat/>
  </w:style>
  <w:style w:type="numbering" w:styleId="818">
    <w:name w:val="Нет списка"/>
    <w:uiPriority w:val="99"/>
    <w:semiHidden/>
    <w:unhideWhenUsed/>
    <w:qFormat/>
  </w:style>
  <w:style w:type="table" w:styleId="819">
    <w:name w:val="Table Grid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20">
    <w:name w:val="Table Grid Light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21">
    <w:name w:val="Plain Table 1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fill="f2f2f2" w:themeFill="text1" w:themeFillTint="00"/>
      </w:tcPr>
    </w:tblStylePr>
    <w:tblStylePr w:type="band1Vert">
      <w:tcPr>
        <w:shd w:val="clear" w:color="ffffff" w:fill="f2f2f2" w:themeFill="text1" w:themeFillTint="0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</w:tblStylePr>
    <w:tblStylePr w:type="lastCol">
      <w:rPr>
        <w:b/>
        <w:sz w:val="22"/>
      </w:rPr>
    </w:tblStylePr>
    <w:tblStylePr w:type="lastRow">
      <w:rPr>
        <w:b/>
        <w:sz w:val="22"/>
      </w:rPr>
    </w:tblStylePr>
  </w:style>
  <w:style w:type="table" w:styleId="822">
    <w:name w:val="Plain Table 2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</w:tblStylePr>
  </w:style>
  <w:style w:type="table" w:styleId="823">
    <w:name w:val="Plain Table 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cPr>
        <w:shd w:val="clear" w:color="ffffff" w:fill="f2f2f2" w:themeFill="text1" w:themeFillTint="00"/>
      </w:tcPr>
    </w:tblStylePr>
    <w:tblStylePr w:type="band1Vert">
      <w:rPr>
        <w:sz w:val="22"/>
      </w:rPr>
      <w:tcPr>
        <w:shd w:val="clear" w:color="ffffff" w:fill="f2f2f2" w:themeFill="text1" w:themeFillTint="00"/>
      </w:tcPr>
    </w:tblStylePr>
    <w:tblStylePr w:type="firstCol">
      <w:rPr>
        <w:b/>
        <w:caps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</w:rPr>
    </w:tblStylePr>
    <w:tblStylePr w:type="lastRow">
      <w:rPr>
        <w:b/>
        <w:caps/>
      </w:rPr>
    </w:tblStylePr>
  </w:style>
  <w:style w:type="table" w:styleId="824">
    <w:name w:val="Plain Table 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cPr>
        <w:shd w:val="clear" w:color="ffffff" w:fill="f2f2f2" w:themeFill="text1" w:themeFillTint="00"/>
      </w:tcPr>
    </w:tblStylePr>
    <w:tblStylePr w:type="band1Vert">
      <w:rPr>
        <w:sz w:val="22"/>
      </w:rPr>
      <w:tcPr>
        <w:shd w:val="clear" w:color="ffffff" w:fill="f2f2f2" w:themeFill="text1" w:themeFillTint="00"/>
      </w:tcPr>
    </w:tblStylePr>
    <w:tblStylePr w:type="firstCol">
      <w:rPr>
        <w:b/>
      </w:rPr>
    </w:tblStylePr>
    <w:tblStylePr w:type="firstRow">
      <w:rPr>
        <w:b/>
      </w:rPr>
    </w:tblStylePr>
    <w:tblStylePr w:type="lastCol">
      <w:rPr>
        <w:b/>
      </w:rPr>
    </w:tblStylePr>
    <w:tblStylePr w:type="lastRow">
      <w:rPr>
        <w:b/>
      </w:rPr>
    </w:tblStylePr>
  </w:style>
  <w:style w:type="table" w:styleId="825">
    <w:name w:val="Plain Table 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cPr>
        <w:shd w:val="clear" w:color="ffffff" w:fill="f2f2f2" w:themeFill="text1" w:themeFillTint="00"/>
      </w:tcPr>
    </w:tblStylePr>
    <w:tblStylePr w:type="band1Vert">
      <w:rPr>
        <w:sz w:val="22"/>
      </w:rPr>
      <w:tcPr>
        <w:shd w:val="clear" w:color="ffffff" w:fill="f2f2f2" w:themeFill="text1" w:themeFillTint="00"/>
      </w:tcPr>
    </w:tblStylePr>
    <w:tblStylePr w:type="firstCol">
      <w:rPr>
        <w:i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26">
    <w:name w:val="Grid Table 1 Light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27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sz w:val="22"/>
      </w:r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accent1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28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sz w:val="22"/>
      </w:r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accent2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29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sz w:val="22"/>
      </w:r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accent3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30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sz w:val="22"/>
      </w:r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accent4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31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32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33">
    <w:name w:val="Grid Table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sz w:val="22"/>
      </w:rPr>
      <w:tcPr>
        <w:shd w:val="clear" w:color="ffffff" w:fill="cbcbcb" w:themeFill="text1" w:themeFillTint="34"/>
      </w:tcPr>
    </w:tblStylePr>
    <w:tblStylePr w:type="band1Vert">
      <w:rPr>
        <w:sz w:val="22"/>
      </w:rPr>
      <w:tcPr>
        <w:shd w:val="clear" w:color="ffffff" w:fill="cbcbcb" w:themeFill="text1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Grid Table 2 - Accent 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sz w:val="22"/>
      </w:rPr>
      <w:tcPr>
        <w:shd w:val="clear" w:color="ffffff" w:fill="dae5f1" w:themeFill="accent1" w:themeFillTint="34"/>
      </w:tcPr>
    </w:tblStylePr>
    <w:tblStylePr w:type="band1Vert">
      <w:rPr>
        <w:sz w:val="22"/>
      </w:rPr>
      <w:tcPr>
        <w:shd w:val="clear" w:color="ffffff" w:fill="dae5f1" w:themeFill="accent1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Grid Table 2 - Accent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sz w:val="22"/>
      </w:rPr>
      <w:tcPr>
        <w:shd w:val="clear" w:color="ffffff" w:fill="f2dcdb" w:themeFill="accent2" w:themeFillTint="32"/>
      </w:tcPr>
    </w:tblStylePr>
    <w:tblStylePr w:type="band1Vert">
      <w:rPr>
        <w:sz w:val="22"/>
      </w:rPr>
      <w:tcPr>
        <w:shd w:val="clear" w:color="ffffff" w:fill="f2dcdb" w:themeFill="accent2" w:themeFillTint="32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Grid Table 2 - Accent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sz w:val="22"/>
      </w:rPr>
      <w:tcPr>
        <w:shd w:val="clear" w:color="ffffff" w:fill="eaf0dd" w:themeFill="accent3" w:themeFillTint="34"/>
      </w:tcPr>
    </w:tblStylePr>
    <w:tblStylePr w:type="band1Vert">
      <w:rPr>
        <w:sz w:val="22"/>
      </w:rPr>
      <w:tcPr>
        <w:shd w:val="clear" w:color="ffffff" w:fill="eaf0dd" w:themeFill="accent3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Grid Table 2 - Accent 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sz w:val="22"/>
      </w:rPr>
      <w:tcPr>
        <w:shd w:val="clear" w:color="ffffff" w:fill="e5dfec" w:themeFill="accent4" w:themeFillTint="34"/>
      </w:tcPr>
    </w:tblStylePr>
    <w:tblStylePr w:type="band1Vert">
      <w:rPr>
        <w:sz w:val="22"/>
      </w:rPr>
      <w:tcPr>
        <w:shd w:val="clear" w:color="ffffff" w:fill="e5dfec" w:themeFill="accent4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>
    <w:name w:val="Grid Table 2 - Accent 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  <w:tcPr>
        <w:shd w:val="clear" w:color="ffffff" w:fill="daeef3" w:themeFill="accent5" w:themeFillTint="34"/>
      </w:tcPr>
    </w:tblStylePr>
    <w:tblStylePr w:type="band1Vert">
      <w:rPr>
        <w:sz w:val="22"/>
      </w:rPr>
      <w:tcPr>
        <w:shd w:val="clear" w:color="ffffff" w:fill="daeef3" w:themeFill="accent5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Grid Table 2 - Accent 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  <w:tcPr>
        <w:shd w:val="clear" w:color="ffffff" w:fill="fde9d8" w:themeFill="accent6" w:themeFillTint="34"/>
      </w:tcPr>
    </w:tblStylePr>
    <w:tblStylePr w:type="band1Vert">
      <w:rPr>
        <w:sz w:val="22"/>
      </w:rPr>
      <w:tcPr>
        <w:shd w:val="clear" w:color="ffffff" w:fill="fde9d8" w:themeFill="accent6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>
    <w:name w:val="Grid Table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sz w:val="22"/>
      </w:rPr>
      <w:tcPr>
        <w:shd w:val="clear" w:color="ffffff" w:fill="cbcbcb" w:themeFill="text1" w:themeFillTint="34"/>
      </w:tcPr>
    </w:tblStylePr>
    <w:tblStylePr w:type="band1Vert">
      <w:rPr>
        <w:sz w:val="22"/>
      </w:rPr>
      <w:tcPr>
        <w:shd w:val="clear" w:color="ffffff" w:fill="cbcbcb" w:themeFill="text1" w:themeFillTint="34"/>
      </w:tcPr>
    </w:tblStylePr>
    <w:tblStylePr w:type="firstCol">
      <w:rPr>
        <w:i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>
    <w:name w:val="Grid Table 3 - Accent 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sz w:val="22"/>
      </w:rPr>
      <w:tcPr>
        <w:shd w:val="clear" w:color="ffffff" w:fill="dae5f1" w:themeFill="accent1" w:themeFillTint="34"/>
      </w:tcPr>
    </w:tblStylePr>
    <w:tblStylePr w:type="band1Vert">
      <w:rPr>
        <w:sz w:val="22"/>
      </w:rPr>
      <w:tcPr>
        <w:shd w:val="clear" w:color="ffffff" w:fill="dae5f1" w:themeFill="accent1" w:themeFillTint="34"/>
      </w:tcPr>
    </w:tblStylePr>
    <w:tblStylePr w:type="firstCol">
      <w:rPr>
        <w:i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>
    <w:name w:val="Grid Table 3 - Accent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sz w:val="22"/>
      </w:rPr>
      <w:tcPr>
        <w:shd w:val="clear" w:color="ffffff" w:fill="f2dcdb" w:themeFill="accent2" w:themeFillTint="32"/>
      </w:tcPr>
    </w:tblStylePr>
    <w:tblStylePr w:type="band1Vert">
      <w:rPr>
        <w:sz w:val="22"/>
      </w:rPr>
      <w:tcPr>
        <w:shd w:val="clear" w:color="ffffff" w:fill="f2dcdb" w:themeFill="accent2" w:themeFillTint="32"/>
      </w:tcPr>
    </w:tblStylePr>
    <w:tblStylePr w:type="firstCol">
      <w:rPr>
        <w:i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>
    <w:name w:val="Grid Table 3 - Accent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sz w:val="22"/>
      </w:rPr>
      <w:tcPr>
        <w:shd w:val="clear" w:color="ffffff" w:fill="eaf0dd" w:themeFill="accent3" w:themeFillTint="34"/>
      </w:tcPr>
    </w:tblStylePr>
    <w:tblStylePr w:type="band1Vert">
      <w:rPr>
        <w:sz w:val="22"/>
      </w:rPr>
      <w:tcPr>
        <w:shd w:val="clear" w:color="ffffff" w:fill="eaf0dd" w:themeFill="accent3" w:themeFillTint="34"/>
      </w:tcPr>
    </w:tblStylePr>
    <w:tblStylePr w:type="firstCol">
      <w:rPr>
        <w:i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Grid Table 3 - Accent 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sz w:val="22"/>
      </w:rPr>
      <w:tcPr>
        <w:shd w:val="clear" w:color="ffffff" w:fill="e5dfec" w:themeFill="accent4" w:themeFillTint="34"/>
      </w:tcPr>
    </w:tblStylePr>
    <w:tblStylePr w:type="band1Vert">
      <w:rPr>
        <w:sz w:val="22"/>
      </w:rPr>
      <w:tcPr>
        <w:shd w:val="clear" w:color="ffffff" w:fill="e5dfec" w:themeFill="accent4" w:themeFillTint="34"/>
      </w:tcPr>
    </w:tblStylePr>
    <w:tblStylePr w:type="firstCol">
      <w:rPr>
        <w:i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>
    <w:name w:val="Grid Table 3 - Accent 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  <w:tcPr>
        <w:shd w:val="clear" w:color="ffffff" w:fill="daeef3" w:themeFill="accent5" w:themeFillTint="34"/>
      </w:tcPr>
    </w:tblStylePr>
    <w:tblStylePr w:type="band1Vert">
      <w:rPr>
        <w:sz w:val="22"/>
      </w:rPr>
      <w:tcPr>
        <w:shd w:val="clear" w:color="ffffff" w:fill="daeef3" w:themeFill="accent5" w:themeFillTint="34"/>
      </w:tcPr>
    </w:tblStylePr>
    <w:tblStylePr w:type="firstCol">
      <w:rPr>
        <w:i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>
    <w:name w:val="Grid Table 3 - Accent 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  <w:tcPr>
        <w:shd w:val="clear" w:color="ffffff" w:fill="fde9d8" w:themeFill="accent6" w:themeFillTint="34"/>
      </w:tcPr>
    </w:tblStylePr>
    <w:tblStylePr w:type="band1Vert">
      <w:rPr>
        <w:sz w:val="22"/>
      </w:rPr>
      <w:tcPr>
        <w:shd w:val="clear" w:color="ffffff" w:fill="fde9d8" w:themeFill="accent6" w:themeFillTint="34"/>
      </w:tcPr>
    </w:tblStylePr>
    <w:tblStylePr w:type="firstCol">
      <w:rPr>
        <w:i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>
    <w:name w:val="Grid Table 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sz w:val="22"/>
      </w:rPr>
      <w:tcPr>
        <w:shd w:val="clear" w:color="ffffff" w:fill="cbcbcb" w:themeFill="text1" w:themeFillTint="34"/>
      </w:tcPr>
    </w:tblStylePr>
    <w:tblStylePr w:type="band1Vert">
      <w:rPr>
        <w:sz w:val="22"/>
      </w:rPr>
      <w:tcPr>
        <w:shd w:val="clear" w:color="ffffff" w:fill="cbcbcb" w:themeFill="text1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text1" w:sz="4" w:space="0"/>
        </w:tcBorders>
      </w:tcPr>
    </w:tblStylePr>
  </w:style>
  <w:style w:type="table" w:styleId="848">
    <w:name w:val="Grid Table 4 - Accent 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sz w:val="22"/>
      </w:rPr>
      <w:tcPr>
        <w:shd w:val="clear" w:color="ffffff" w:fill="dce6f1" w:themeFill="accent1" w:themeFillTint="32"/>
      </w:tcPr>
    </w:tblStylePr>
    <w:tblStylePr w:type="band1Vert">
      <w:rPr>
        <w:sz w:val="22"/>
      </w:rPr>
      <w:tcPr>
        <w:shd w:val="clear" w:color="ffffff" w:fill="dce6f1" w:themeFill="accent1" w:themeFillTint="32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5d8dc2" w:themeFill="accent1" w:themeFillTint="EA"/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1" w:sz="4" w:space="0"/>
        </w:tcBorders>
      </w:tcPr>
    </w:tblStylePr>
  </w:style>
  <w:style w:type="table" w:styleId="849">
    <w:name w:val="Grid Table 4 - Accent 2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sz w:val="22"/>
      </w:rPr>
      <w:tcPr>
        <w:shd w:val="clear" w:color="ffffff" w:fill="f2dcdb" w:themeFill="accent2" w:themeFillTint="32"/>
      </w:tcPr>
    </w:tblStylePr>
    <w:tblStylePr w:type="band1Vert">
      <w:rPr>
        <w:sz w:val="22"/>
      </w:rPr>
      <w:tcPr>
        <w:shd w:val="clear" w:color="ffffff" w:fill="f2dcdb" w:themeFill="accent2" w:themeFillTint="32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d99694" w:themeFill="accent2" w:themeFillTint="97"/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2" w:sz="4" w:space="0"/>
        </w:tcBorders>
      </w:tcPr>
    </w:tblStylePr>
  </w:style>
  <w:style w:type="table" w:styleId="850">
    <w:name w:val="Grid Table 4 - Accent 3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sz w:val="22"/>
      </w:rPr>
      <w:tcPr>
        <w:shd w:val="clear" w:color="ffffff" w:fill="eaf0dd" w:themeFill="accent3" w:themeFillTint="34"/>
      </w:tcPr>
    </w:tblStylePr>
    <w:tblStylePr w:type="band1Vert">
      <w:rPr>
        <w:sz w:val="22"/>
      </w:rPr>
      <w:tcPr>
        <w:shd w:val="clear" w:color="ffffff" w:fill="eaf0dd" w:themeFill="accent3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9bba59" w:themeFill="accent3" w:themeFillTint="FE"/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3" w:sz="4" w:space="0"/>
        </w:tcBorders>
      </w:tcPr>
    </w:tblStylePr>
  </w:style>
  <w:style w:type="table" w:styleId="851">
    <w:name w:val="Grid Table 4 - Accent 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sz w:val="22"/>
      </w:rPr>
      <w:tcPr>
        <w:shd w:val="clear" w:color="ffffff" w:fill="e5dfec" w:themeFill="accent4" w:themeFillTint="34"/>
      </w:tcPr>
    </w:tblStylePr>
    <w:tblStylePr w:type="band1Vert">
      <w:rPr>
        <w:sz w:val="22"/>
      </w:rPr>
      <w:tcPr>
        <w:shd w:val="clear" w:color="ffffff" w:fill="e5dfec" w:themeFill="accent4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b2a1c6" w:themeFill="accent4" w:themeFillTint="9A"/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4" w:sz="4" w:space="0"/>
        </w:tcBorders>
      </w:tcPr>
    </w:tblStylePr>
  </w:style>
  <w:style w:type="table" w:styleId="852">
    <w:name w:val="Grid Table 4 - Accent 5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sz w:val="22"/>
      </w:rPr>
      <w:tcPr>
        <w:shd w:val="clear" w:color="ffffff" w:fill="daeef3" w:themeFill="accent5" w:themeFillTint="34"/>
      </w:tcPr>
    </w:tblStylePr>
    <w:tblStylePr w:type="band1Vert">
      <w:rPr>
        <w:sz w:val="22"/>
      </w:rPr>
      <w:tcPr>
        <w:shd w:val="clear" w:color="ffffff" w:fill="daeef3" w:themeFill="accent5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5" w:sz="4" w:space="0"/>
        </w:tcBorders>
      </w:tcPr>
    </w:tblStylePr>
  </w:style>
  <w:style w:type="table" w:styleId="853">
    <w:name w:val="Grid Table 4 - Accent 6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sz w:val="22"/>
      </w:rPr>
      <w:tcPr>
        <w:shd w:val="clear" w:color="ffffff" w:fill="fde9d8" w:themeFill="accent6" w:themeFillTint="34"/>
      </w:tcPr>
    </w:tblStylePr>
    <w:tblStylePr w:type="band1Vert">
      <w:rPr>
        <w:sz w:val="22"/>
      </w:rPr>
      <w:tcPr>
        <w:shd w:val="clear" w:color="ffffff" w:fill="fde9d8" w:themeFill="accent6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6" w:sz="4" w:space="0"/>
        </w:tcBorders>
      </w:tcPr>
    </w:tblStylePr>
  </w:style>
  <w:style w:type="table" w:styleId="854">
    <w:name w:val="Grid Table 5 Dark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8a8a8a" w:themeFill="text1" w:themeFillTint="75"/>
      </w:tcPr>
    </w:tblStylePr>
    <w:tblStylePr w:type="band1Vert">
      <w:tcPr>
        <w:shd w:val="clear" w:color="ffffff" w:fill="8a8a8a" w:themeFill="text1" w:themeFillTint="75"/>
      </w:tcPr>
    </w:tblStylePr>
    <w:tblStylePr w:type="firstCol">
      <w:rPr>
        <w:b/>
        <w:sz w:val="22"/>
      </w:rPr>
      <w:tcPr>
        <w:shd w:val="clear" w:color="ffffff" w:fill="000000" w:themeFill="text1"/>
      </w:tcPr>
    </w:tblStylePr>
    <w:tblStylePr w:type="firstRow">
      <w:rPr>
        <w:b/>
        <w:sz w:val="22"/>
      </w:rPr>
      <w:tcPr>
        <w:shd w:val="clear" w:color="ffffff" w:fill="000000" w:themeFill="text1"/>
      </w:tcPr>
    </w:tblStylePr>
    <w:tblStylePr w:type="lastCol">
      <w:rPr>
        <w:b/>
        <w:sz w:val="22"/>
      </w:rPr>
      <w:tcPr>
        <w:shd w:val="clear" w:color="ffffff" w:fill="000000" w:themeFill="text1"/>
      </w:tcPr>
    </w:tblStylePr>
    <w:tblStylePr w:type="lastRow">
      <w:rPr>
        <w:b/>
        <w:sz w:val="22"/>
      </w:rPr>
      <w:tcPr>
        <w:shd w:val="clear" w:color="ffffff" w:fill="000000" w:themeFill="text1"/>
        <w:tcBorders>
          <w:top w:val="single" w:color="000000" w:themeColor="light1" w:sz="4" w:space="0"/>
        </w:tcBorders>
      </w:tcPr>
    </w:tblStylePr>
  </w:style>
  <w:style w:type="table" w:styleId="855">
    <w:name w:val="Grid Table 5 Dark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adc5e0" w:themeFill="accent1" w:themeFillTint="75"/>
      </w:tcPr>
    </w:tblStylePr>
    <w:tblStylePr w:type="band1Vert">
      <w:tcPr>
        <w:shd w:val="clear" w:color="ffffff" w:fill="adc5e0" w:themeFill="accent1" w:themeFillTint="75"/>
      </w:tcPr>
    </w:tblStylePr>
    <w:tblStylePr w:type="firstCol">
      <w:rPr>
        <w:b/>
        <w:sz w:val="22"/>
      </w:rPr>
      <w:tcPr>
        <w:shd w:val="clear" w:color="ffffff" w:fill="4f81bd" w:themeFill="accent1"/>
      </w:tcPr>
    </w:tblStylePr>
    <w:tblStylePr w:type="firstRow">
      <w:rPr>
        <w:b/>
        <w:sz w:val="22"/>
      </w:rPr>
      <w:tcPr>
        <w:shd w:val="clear" w:color="ffffff" w:fill="4f81bd" w:themeFill="accent1"/>
      </w:tcPr>
    </w:tblStylePr>
    <w:tblStylePr w:type="lastCol">
      <w:rPr>
        <w:b/>
        <w:sz w:val="22"/>
      </w:rPr>
      <w:tcPr>
        <w:shd w:val="clear" w:color="ffffff" w:fill="4f81bd" w:themeFill="accent1"/>
      </w:tcPr>
    </w:tblStylePr>
    <w:tblStylePr w:type="lastRow">
      <w:rPr>
        <w:b/>
        <w:sz w:val="22"/>
      </w:rPr>
      <w:tcPr>
        <w:shd w:val="clear" w:color="ffffff" w:fill="4f81bd" w:themeFill="accent1"/>
        <w:tcBorders>
          <w:top w:val="single" w:color="000000" w:themeColor="light1" w:sz="4" w:space="0"/>
        </w:tcBorders>
      </w:tcPr>
    </w:tblStylePr>
  </w:style>
  <w:style w:type="table" w:styleId="856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e1adac" w:themeFill="accent2" w:themeFillTint="75"/>
      </w:tcPr>
    </w:tblStylePr>
    <w:tblStylePr w:type="band1Vert">
      <w:tcPr>
        <w:shd w:val="clear" w:color="ffffff" w:fill="e1adac" w:themeFill="accent2" w:themeFillTint="75"/>
      </w:tcPr>
    </w:tblStylePr>
    <w:tblStylePr w:type="firstCol">
      <w:rPr>
        <w:b/>
        <w:sz w:val="22"/>
      </w:rPr>
      <w:tcPr>
        <w:shd w:val="clear" w:color="ffffff" w:fill="c0504d" w:themeFill="accent2"/>
      </w:tcPr>
    </w:tblStylePr>
    <w:tblStylePr w:type="firstRow">
      <w:rPr>
        <w:b/>
        <w:sz w:val="22"/>
      </w:rPr>
      <w:tcPr>
        <w:shd w:val="clear" w:color="ffffff" w:fill="c0504d" w:themeFill="accent2"/>
      </w:tcPr>
    </w:tblStylePr>
    <w:tblStylePr w:type="lastCol">
      <w:rPr>
        <w:b/>
        <w:sz w:val="22"/>
      </w:rPr>
      <w:tcPr>
        <w:shd w:val="clear" w:color="ffffff" w:fill="c0504d" w:themeFill="accent2"/>
      </w:tcPr>
    </w:tblStylePr>
    <w:tblStylePr w:type="lastRow">
      <w:rPr>
        <w:b/>
        <w:sz w:val="22"/>
      </w:rPr>
      <w:tcPr>
        <w:shd w:val="clear" w:color="ffffff" w:fill="c0504d" w:themeFill="accent2"/>
        <w:tcBorders>
          <w:top w:val="single" w:color="000000" w:themeColor="light1" w:sz="4" w:space="0"/>
        </w:tcBorders>
      </w:tcPr>
    </w:tblStylePr>
  </w:style>
  <w:style w:type="table" w:styleId="857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d1dfb2" w:themeFill="accent3" w:themeFillTint="75"/>
      </w:tcPr>
    </w:tblStylePr>
    <w:tblStylePr w:type="band1Vert">
      <w:tcPr>
        <w:shd w:val="clear" w:color="ffffff" w:fill="d1dfb2" w:themeFill="accent3" w:themeFillTint="75"/>
      </w:tcPr>
    </w:tblStylePr>
    <w:tblStylePr w:type="firstCol">
      <w:rPr>
        <w:b/>
        <w:sz w:val="22"/>
      </w:rPr>
      <w:tcPr>
        <w:shd w:val="clear" w:color="ffffff" w:fill="9bbb59" w:themeFill="accent3"/>
      </w:tcPr>
    </w:tblStylePr>
    <w:tblStylePr w:type="firstRow">
      <w:rPr>
        <w:b/>
        <w:sz w:val="22"/>
      </w:rPr>
      <w:tcPr>
        <w:shd w:val="clear" w:color="ffffff" w:fill="9bbb59" w:themeFill="accent3"/>
      </w:tcPr>
    </w:tblStylePr>
    <w:tblStylePr w:type="lastCol">
      <w:rPr>
        <w:b/>
        <w:sz w:val="22"/>
      </w:rPr>
      <w:tcPr>
        <w:shd w:val="clear" w:color="ffffff" w:fill="9bbb59" w:themeFill="accent3"/>
      </w:tcPr>
    </w:tblStylePr>
    <w:tblStylePr w:type="lastRow">
      <w:rPr>
        <w:b/>
        <w:sz w:val="22"/>
      </w:rPr>
      <w:tcPr>
        <w:shd w:val="clear" w:color="ffffff" w:fill="9bbb59" w:themeFill="accent3"/>
        <w:tcBorders>
          <w:top w:val="single" w:color="000000" w:themeColor="light1" w:sz="4" w:space="0"/>
        </w:tcBorders>
      </w:tcPr>
    </w:tblStylePr>
  </w:style>
  <w:style w:type="table" w:styleId="858">
    <w:name w:val="Grid Table 5 Dark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c4b7d4" w:themeFill="accent4" w:themeFillTint="75"/>
      </w:tcPr>
    </w:tblStylePr>
    <w:tblStylePr w:type="band1Vert">
      <w:tcPr>
        <w:shd w:val="clear" w:color="ffffff" w:fill="c4b7d4" w:themeFill="accent4" w:themeFillTint="75"/>
      </w:tcPr>
    </w:tblStylePr>
    <w:tblStylePr w:type="firstCol">
      <w:rPr>
        <w:b/>
        <w:sz w:val="22"/>
      </w:rPr>
      <w:tcPr>
        <w:shd w:val="clear" w:color="ffffff" w:fill="8064a2" w:themeFill="accent4"/>
      </w:tcPr>
    </w:tblStylePr>
    <w:tblStylePr w:type="firstRow">
      <w:rPr>
        <w:b/>
        <w:sz w:val="22"/>
      </w:rPr>
      <w:tcPr>
        <w:shd w:val="clear" w:color="ffffff" w:fill="8064a2" w:themeFill="accent4"/>
      </w:tcPr>
    </w:tblStylePr>
    <w:tblStylePr w:type="lastCol">
      <w:rPr>
        <w:b/>
        <w:sz w:val="22"/>
      </w:rPr>
      <w:tcPr>
        <w:shd w:val="clear" w:color="ffffff" w:fill="8064a2" w:themeFill="accent4"/>
      </w:tcPr>
    </w:tblStylePr>
    <w:tblStylePr w:type="lastRow">
      <w:rPr>
        <w:b/>
        <w:sz w:val="22"/>
      </w:rPr>
      <w:tcPr>
        <w:shd w:val="clear" w:color="ffffff" w:fill="8064a2" w:themeFill="accent4"/>
        <w:tcBorders>
          <w:top w:val="single" w:color="000000" w:themeColor="light1" w:sz="4" w:space="0"/>
        </w:tcBorders>
      </w:tcPr>
    </w:tblStylePr>
  </w:style>
  <w:style w:type="table" w:styleId="859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abd9e4" w:themeFill="accent5" w:themeFillTint="75"/>
      </w:tcPr>
    </w:tblStylePr>
    <w:tblStylePr w:type="band1Vert">
      <w:tcPr>
        <w:shd w:val="clear" w:color="ffffff" w:fill="abd9e4" w:themeFill="accent5" w:themeFillTint="75"/>
      </w:tcPr>
    </w:tblStylePr>
    <w:tblStylePr w:type="firstCol">
      <w:rPr>
        <w:b/>
        <w:sz w:val="22"/>
      </w:rPr>
      <w:tcPr>
        <w:shd w:val="clear" w:color="ffffff" w:fill="4bacc6" w:themeFill="accent5"/>
      </w:tcPr>
    </w:tblStylePr>
    <w:tblStylePr w:type="firstRow">
      <w:rPr>
        <w:b/>
        <w:sz w:val="22"/>
      </w:rPr>
      <w:tcPr>
        <w:shd w:val="clear" w:color="ffffff" w:fill="4bacc6" w:themeFill="accent5"/>
      </w:tcPr>
    </w:tblStylePr>
    <w:tblStylePr w:type="lastCol">
      <w:rPr>
        <w:b/>
        <w:sz w:val="22"/>
      </w:rPr>
      <w:tcPr>
        <w:shd w:val="clear" w:color="ffffff" w:fill="4bacc6" w:themeFill="accent5"/>
      </w:tcPr>
    </w:tblStylePr>
    <w:tblStylePr w:type="lastRow">
      <w:rPr>
        <w:b/>
        <w:sz w:val="22"/>
      </w:rPr>
      <w:tcPr>
        <w:shd w:val="clear" w:color="ffffff" w:fill="4bacc6" w:themeFill="accent5"/>
        <w:tcBorders>
          <w:top w:val="single" w:color="000000" w:themeColor="light1" w:sz="4" w:space="0"/>
        </w:tcBorders>
      </w:tcPr>
    </w:tblStylePr>
  </w:style>
  <w:style w:type="table" w:styleId="860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fbcda8" w:themeFill="accent6" w:themeFillTint="75"/>
      </w:tcPr>
    </w:tblStylePr>
    <w:tblStylePr w:type="band1Vert">
      <w:tcPr>
        <w:shd w:val="clear" w:color="ffffff" w:fill="fbcda8" w:themeFill="accent6" w:themeFillTint="75"/>
      </w:tcPr>
    </w:tblStylePr>
    <w:tblStylePr w:type="firstCol">
      <w:rPr>
        <w:b/>
        <w:sz w:val="22"/>
      </w:rPr>
      <w:tcPr>
        <w:shd w:val="clear" w:color="ffffff" w:fill="f79646" w:themeFill="accent6"/>
      </w:tcPr>
    </w:tblStylePr>
    <w:tblStylePr w:type="firstRow">
      <w:rPr>
        <w:b/>
        <w:sz w:val="22"/>
      </w:rPr>
      <w:tcPr>
        <w:shd w:val="clear" w:color="ffffff" w:fill="f79646" w:themeFill="accent6"/>
      </w:tcPr>
    </w:tblStylePr>
    <w:tblStylePr w:type="lastCol">
      <w:rPr>
        <w:b/>
        <w:sz w:val="22"/>
      </w:rPr>
      <w:tcPr>
        <w:shd w:val="clear" w:color="ffffff" w:fill="f79646" w:themeFill="accent6"/>
      </w:tcPr>
    </w:tblStylePr>
    <w:tblStylePr w:type="lastRow">
      <w:rPr>
        <w:b/>
        <w:sz w:val="22"/>
      </w:rPr>
      <w:tcPr>
        <w:shd w:val="clear" w:color="ffffff" w:fill="f79646" w:themeFill="accent6"/>
        <w:tcBorders>
          <w:top w:val="single" w:color="000000" w:themeColor="light1" w:sz="4" w:space="0"/>
        </w:tcBorders>
      </w:tcPr>
    </w:tblStylePr>
  </w:style>
  <w:style w:type="table" w:styleId="861">
    <w:name w:val="Grid Table 6 Colorful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ffffff" w:fill="cbcbcb" w:themeFill="text1" w:themeFillTint="34"/>
      </w:tcPr>
    </w:tblStylePr>
    <w:tblStylePr w:type="band1Vert">
      <w:tcPr>
        <w:shd w:val="clear" w:color="ffffff" w:fill="cbcbcb" w:themeFill="text1" w:themeFillTint="34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color w:val="4a4a4a" w:themeColor="text1" w:themeTint="80" w:themeShade="95"/>
        <w:sz w:val="22"/>
      </w:rPr>
    </w:tblStylePr>
  </w:style>
  <w:style w:type="table" w:styleId="862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e70a3" w:themeColor="accent1" w:themeTint="80" w:themeShade="95"/>
        <w:sz w:val="22"/>
      </w:rPr>
      <w:tcPr>
        <w:shd w:val="clear" w:color="ffffff" w:fill="dae5f1" w:themeFill="accent1" w:themeFillTint="34"/>
      </w:tcPr>
    </w:tblStylePr>
    <w:tblStylePr w:type="band1Vert">
      <w:tcPr>
        <w:shd w:val="clear" w:color="ffffff" w:fill="dae5f1" w:themeFill="accent1" w:themeFillTint="34"/>
      </w:tcPr>
    </w:tblStylePr>
    <w:tblStylePr w:type="band2Horz">
      <w:rPr>
        <w:color w:val="3e70a3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color w:val="3e70a3" w:themeColor="accent1" w:themeTint="80" w:themeShade="95"/>
        <w:sz w:val="22"/>
      </w:rPr>
    </w:tblStylePr>
  </w:style>
  <w:style w:type="table" w:styleId="863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cPr>
        <w:shd w:val="clear" w:color="ffffff" w:fill="f2dcdb" w:themeFill="accent2" w:themeFillTint="32"/>
      </w:tcPr>
    </w:tblStylePr>
    <w:tblStylePr w:type="band1Vert">
      <w:tcPr>
        <w:shd w:val="clear" w:color="ffffff" w:fill="f2dcdb" w:themeFill="accent2" w:themeFillTint="32"/>
      </w:tcPr>
    </w:tblStylePr>
    <w:tblStylePr w:type="band2Horz">
      <w:rPr>
        <w:color w:val="9c3a37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color w:val="9c3a37" w:themeColor="accent2" w:themeTint="97" w:themeShade="95"/>
        <w:sz w:val="22"/>
      </w:rPr>
    </w:tblStylePr>
  </w:style>
  <w:style w:type="table" w:styleId="864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5c702f" w:themeColor="accent3" w:themeTint="FE" w:themeShade="95"/>
        <w:sz w:val="22"/>
      </w:rPr>
      <w:tcPr>
        <w:shd w:val="clear" w:color="ffffff" w:fill="eaf0dd" w:themeFill="accent3" w:themeFillTint="34"/>
      </w:tcPr>
    </w:tblStylePr>
    <w:tblStylePr w:type="band1Vert">
      <w:tcPr>
        <w:shd w:val="clear" w:color="ffffff" w:fill="eaf0dd" w:themeFill="accent3" w:themeFillTint="34"/>
      </w:tcPr>
    </w:tblStylePr>
    <w:tblStylePr w:type="band2Horz">
      <w:rPr>
        <w:color w:val="5c702f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color w:val="5c702f" w:themeColor="accent3" w:themeTint="FE" w:themeShade="95"/>
        <w:sz w:val="22"/>
      </w:rPr>
    </w:tblStylePr>
  </w:style>
  <w:style w:type="table" w:styleId="865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cPr>
        <w:shd w:val="clear" w:color="ffffff" w:fill="e5dfec" w:themeFill="accent4" w:themeFillTint="34"/>
      </w:tcPr>
    </w:tblStylePr>
    <w:tblStylePr w:type="band1Vert">
      <w:tcPr>
        <w:shd w:val="clear" w:color="ffffff" w:fill="e5dfec" w:themeFill="accent4" w:themeFillTint="34"/>
      </w:tcPr>
    </w:tblStylePr>
    <w:tblStylePr w:type="band2Horz">
      <w:rPr>
        <w:color w:val="664f82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color w:val="664f82" w:themeColor="accent4" w:themeTint="9A" w:themeShade="95"/>
        <w:sz w:val="22"/>
      </w:rPr>
    </w:tblStylePr>
  </w:style>
  <w:style w:type="table" w:styleId="866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266777" w:themeColor="accent5" w:themeShade="95"/>
        <w:sz w:val="22"/>
      </w:rPr>
      <w:tcPr>
        <w:shd w:val="clear" w:color="ffffff" w:fill="daeef3" w:themeFill="accent5" w:themeFillTint="34"/>
      </w:tcPr>
    </w:tblStylePr>
    <w:tblStylePr w:type="band1Vert">
      <w:tcPr>
        <w:shd w:val="clear" w:color="ffffff" w:fill="daeef3" w:themeFill="accent5" w:themeFillTint="34"/>
      </w:tcPr>
    </w:tblStylePr>
    <w:tblStylePr w:type="band2Horz">
      <w:rPr>
        <w:color w:val="266777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color w:val="266777" w:themeColor="accent5" w:themeShade="95"/>
        <w:sz w:val="22"/>
      </w:rPr>
    </w:tblStylePr>
  </w:style>
  <w:style w:type="table" w:styleId="867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266777" w:themeColor="accent5" w:themeShade="95"/>
        <w:sz w:val="22"/>
      </w:rPr>
      <w:tcPr>
        <w:shd w:val="clear" w:color="ffffff" w:fill="fde9d8" w:themeFill="accent6" w:themeFillTint="34"/>
      </w:tcPr>
    </w:tblStylePr>
    <w:tblStylePr w:type="band1Vert">
      <w:tcPr>
        <w:shd w:val="clear" w:color="ffffff" w:fill="fde9d8" w:themeFill="accent6" w:themeFillTint="34"/>
      </w:tcPr>
    </w:tblStylePr>
    <w:tblStylePr w:type="band2Horz">
      <w:rPr>
        <w:color w:val="266777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color w:val="266777" w:themeColor="accent5" w:themeShade="95"/>
        <w:sz w:val="22"/>
      </w:rPr>
    </w:tblStylePr>
  </w:style>
  <w:style w:type="table" w:styleId="868">
    <w:name w:val="Grid Table 7 Colorful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ffffff" w:fill="f2f2f2" w:themeFill="text1" w:themeFillTint="00"/>
      </w:tcPr>
    </w:tblStylePr>
    <w:tblStylePr w:type="band1Vert">
      <w:tcPr>
        <w:shd w:val="clear" w:color="ffffff" w:fill="f2f2f2" w:themeFill="text1" w:themeFillTint="0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b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e70a3" w:themeColor="accent1" w:themeTint="80" w:themeShade="95"/>
        <w:sz w:val="22"/>
      </w:rPr>
      <w:tcPr>
        <w:shd w:val="clear" w:color="ffffff" w:fill="dae5f1" w:themeFill="accent1" w:themeFillTint="34"/>
      </w:tcPr>
    </w:tblStylePr>
    <w:tblStylePr w:type="band1Vert">
      <w:tcPr>
        <w:shd w:val="clear" w:color="ffffff" w:fill="dae5f1" w:themeFill="accent1" w:themeFillTint="34"/>
      </w:tcPr>
    </w:tblStylePr>
    <w:tblStylePr w:type="band2Horz">
      <w:rPr>
        <w:color w:val="3e70a3" w:themeColor="accent1" w:themeTint="80" w:themeShade="95"/>
        <w:sz w:val="22"/>
      </w:rPr>
    </w:tblStylePr>
    <w:tblStylePr w:type="firstCol">
      <w:rPr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b/>
        <w:color w:val="3e70a3" w:themeColor="accen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3e70a3" w:themeColor="accent1" w:themeTint="80" w:themeShade="95"/>
        <w:sz w:val="22"/>
      </w:rPr>
      <w:tcPr>
        <w:shd w:val="clear" w:color="ffffff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cPr>
        <w:shd w:val="clear" w:color="ffffff" w:fill="f2dcdb" w:themeFill="accent2" w:themeFillTint="32"/>
      </w:tcPr>
    </w:tblStylePr>
    <w:tblStylePr w:type="band1Vert">
      <w:tcPr>
        <w:shd w:val="clear" w:color="ffffff" w:fill="f2dcdb" w:themeFill="accent2" w:themeFillTint="32"/>
      </w:tcPr>
    </w:tblStylePr>
    <w:tblStylePr w:type="band2Horz">
      <w:rPr>
        <w:color w:val="9c3a37" w:themeColor="accent2" w:themeTint="97" w:themeShade="95"/>
        <w:sz w:val="22"/>
      </w:rPr>
    </w:tblStylePr>
    <w:tblStylePr w:type="firstCol">
      <w:rPr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b/>
        <w:color w:val="9c3a37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9c3a37" w:themeColor="accent2" w:themeTint="97" w:themeShade="95"/>
        <w:sz w:val="22"/>
      </w:rPr>
      <w:tcPr>
        <w:shd w:val="clear" w:color="ffffff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5c702f" w:themeColor="accent3" w:themeTint="FE" w:themeShade="95"/>
        <w:sz w:val="22"/>
      </w:rPr>
      <w:tcPr>
        <w:shd w:val="clear" w:color="ffffff" w:fill="eaf0dd" w:themeFill="accent3" w:themeFillTint="34"/>
      </w:tcPr>
    </w:tblStylePr>
    <w:tblStylePr w:type="band1Vert">
      <w:tcPr>
        <w:shd w:val="clear" w:color="ffffff" w:fill="eaf0dd" w:themeFill="accent3" w:themeFillTint="34"/>
      </w:tcPr>
    </w:tblStylePr>
    <w:tblStylePr w:type="band2Horz">
      <w:rPr>
        <w:color w:val="5c702f" w:themeColor="accent3" w:themeTint="FE" w:themeShade="95"/>
        <w:sz w:val="22"/>
      </w:rPr>
    </w:tblStylePr>
    <w:tblStylePr w:type="firstCol">
      <w:rPr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b/>
        <w:color w:val="5c702f" w:themeColor="accent3" w:themeTint="FE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5c702f" w:themeColor="accent3" w:themeTint="FE" w:themeShade="95"/>
        <w:sz w:val="22"/>
      </w:rPr>
      <w:tcPr>
        <w:shd w:val="clear" w:color="ffffff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cPr>
        <w:shd w:val="clear" w:color="ffffff" w:fill="e5dfec" w:themeFill="accent4" w:themeFillTint="34"/>
      </w:tcPr>
    </w:tblStylePr>
    <w:tblStylePr w:type="band1Vert">
      <w:tcPr>
        <w:shd w:val="clear" w:color="ffffff" w:fill="e5dfec" w:themeFill="accent4" w:themeFillTint="34"/>
      </w:tcPr>
    </w:tblStylePr>
    <w:tblStylePr w:type="band2Horz">
      <w:rPr>
        <w:color w:val="664f82" w:themeColor="accent4" w:themeTint="9A" w:themeShade="95"/>
        <w:sz w:val="22"/>
      </w:rPr>
    </w:tblStylePr>
    <w:tblStylePr w:type="firstCol">
      <w:rPr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b/>
        <w:color w:val="664f82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664f82" w:themeColor="accent4" w:themeTint="9A" w:themeShade="95"/>
        <w:sz w:val="22"/>
      </w:rPr>
      <w:tcPr>
        <w:shd w:val="clear" w:color="ffffff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266777" w:themeColor="accent5" w:themeShade="95"/>
        <w:sz w:val="22"/>
      </w:rPr>
      <w:tcPr>
        <w:shd w:val="clear" w:color="ffffff" w:fill="daeef3" w:themeFill="accent5" w:themeFillTint="34"/>
      </w:tcPr>
    </w:tblStylePr>
    <w:tblStylePr w:type="band1Vert">
      <w:tcPr>
        <w:shd w:val="clear" w:color="ffffff" w:fill="daeef3" w:themeFill="accent5" w:themeFillTint="34"/>
      </w:tcPr>
    </w:tblStylePr>
    <w:tblStylePr w:type="band2Horz">
      <w:rPr>
        <w:color w:val="266777" w:themeColor="accent5" w:themeShade="95"/>
        <w:sz w:val="22"/>
      </w:rPr>
    </w:tblStylePr>
    <w:tblStylePr w:type="firstCol">
      <w:rPr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b/>
        <w:color w:val="266777" w:themeColor="accent5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66777" w:themeColor="accent5" w:themeShade="95"/>
        <w:sz w:val="22"/>
      </w:rPr>
      <w:tcPr>
        <w:shd w:val="clear" w:color="ffffff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b05307" w:themeColor="accent6" w:themeShade="95"/>
        <w:sz w:val="22"/>
      </w:rPr>
      <w:tcPr>
        <w:shd w:val="clear" w:color="ffffff" w:fill="fde9d8" w:themeFill="accent6" w:themeFillTint="34"/>
      </w:tcPr>
    </w:tblStylePr>
    <w:tblStylePr w:type="band1Vert">
      <w:tcPr>
        <w:shd w:val="clear" w:color="ffffff" w:fill="fde9d8" w:themeFill="accent6" w:themeFillTint="34"/>
      </w:tcPr>
    </w:tblStylePr>
    <w:tblStylePr w:type="band2Horz">
      <w:rPr>
        <w:color w:val="b05307" w:themeColor="accent6" w:themeShade="95"/>
        <w:sz w:val="22"/>
      </w:rPr>
    </w:tblStylePr>
    <w:tblStylePr w:type="firstCol">
      <w:rPr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b/>
        <w:color w:val="b05307" w:themeColor="accent6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b05307" w:themeColor="accent6" w:themeShade="95"/>
        <w:sz w:val="22"/>
      </w:rPr>
      <w:tcPr>
        <w:shd w:val="clear" w:color="ffffff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>
    <w:name w:val="List Table 1 Light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>
    <w:name w:val="List Table 1 Light - Accent 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d3e0ee" w:themeFill="accent1" w:themeFillTint="40"/>
      </w:tcPr>
    </w:tblStylePr>
    <w:tblStylePr w:type="band1Vert">
      <w:tcPr>
        <w:shd w:val="clear" w:color="ffffff" w:fill="d3e0ee" w:themeFill="accent1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>
    <w:name w:val="List Table 1 Light - Accent 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efd3d2" w:themeFill="accent2" w:themeFillTint="40"/>
      </w:tcPr>
    </w:tblStylePr>
    <w:tblStylePr w:type="band1Vert">
      <w:tcPr>
        <w:shd w:val="clear" w:color="ffffff" w:fill="efd3d2" w:themeFill="accent2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>
    <w:name w:val="List Table 1 Light - Accent 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e6eed5" w:themeFill="accent3" w:themeFillTint="40"/>
      </w:tcPr>
    </w:tblStylePr>
    <w:tblStylePr w:type="band1Vert">
      <w:tcPr>
        <w:shd w:val="clear" w:color="ffffff" w:fill="e6eed5" w:themeFill="accent3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>
    <w:name w:val="List Table 1 Light - Accent 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dfd8e7" w:themeFill="accent4" w:themeFillTint="40"/>
      </w:tcPr>
    </w:tblStylePr>
    <w:tblStylePr w:type="band1Vert">
      <w:tcPr>
        <w:shd w:val="clear" w:color="ffffff" w:fill="dfd8e7" w:themeFill="accent4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>
    <w:name w:val="List Table 1 Light - Accent 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d1eaf0" w:themeFill="accent5" w:themeFillTint="40"/>
      </w:tcPr>
    </w:tblStylePr>
    <w:tblStylePr w:type="band1Vert">
      <w:tcPr>
        <w:shd w:val="clear" w:color="ffffff" w:fill="d1eaf0" w:themeFill="accent5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>
    <w:name w:val="List Table 1 Light - Accent 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fce4d1" w:themeFill="accent6" w:themeFillTint="40"/>
      </w:tcPr>
    </w:tblStylePr>
    <w:tblStylePr w:type="band1Vert">
      <w:tcPr>
        <w:shd w:val="clear" w:color="ffffff" w:fill="fce4d1" w:themeFill="accent6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>
    <w:name w:val="List Table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sz w:val="22"/>
      </w:rPr>
      <w:tcPr>
        <w:shd w:val="clear" w:color="ffffff" w:fill="bfbfbf" w:themeFill="text1" w:themeFillTint="40"/>
      </w:tcPr>
    </w:tblStylePr>
    <w:tblStylePr w:type="band1Vert">
      <w:rPr>
        <w:sz w:val="22"/>
      </w:rPr>
      <w:tcPr>
        <w:shd w:val="clear" w:color="ffffff" w:fill="bfbfbf" w:themeFill="text1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883">
    <w:name w:val="List Table 2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sz w:val="22"/>
      </w:rPr>
      <w:tcPr>
        <w:shd w:val="clear" w:color="ffffff" w:fill="d3e0ee" w:themeFill="accent1" w:themeFillTint="40"/>
      </w:tcPr>
    </w:tblStylePr>
    <w:tblStylePr w:type="band1Vert">
      <w:rPr>
        <w:sz w:val="22"/>
      </w:rPr>
      <w:tcPr>
        <w:shd w:val="clear" w:color="ffffff" w:fill="d3e0ee" w:themeFill="accent1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884">
    <w:name w:val="List Table 2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sz w:val="22"/>
      </w:rPr>
      <w:tcPr>
        <w:shd w:val="clear" w:color="ffffff" w:fill="efd3d2" w:themeFill="accent2" w:themeFillTint="40"/>
      </w:tcPr>
    </w:tblStylePr>
    <w:tblStylePr w:type="band1Vert">
      <w:rPr>
        <w:sz w:val="22"/>
      </w:rPr>
      <w:tcPr>
        <w:shd w:val="clear" w:color="ffffff" w:fill="efd3d2" w:themeFill="accent2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885">
    <w:name w:val="List Table 2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sz w:val="22"/>
      </w:rPr>
      <w:tcPr>
        <w:shd w:val="clear" w:color="ffffff" w:fill="e6eed5" w:themeFill="accent3" w:themeFillTint="40"/>
      </w:tcPr>
    </w:tblStylePr>
    <w:tblStylePr w:type="band1Vert">
      <w:rPr>
        <w:sz w:val="22"/>
      </w:rPr>
      <w:tcPr>
        <w:shd w:val="clear" w:color="ffffff" w:fill="e6eed5" w:themeFill="accent3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886">
    <w:name w:val="List Table 2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sz w:val="22"/>
      </w:rPr>
      <w:tcPr>
        <w:shd w:val="clear" w:color="ffffff" w:fill="dfd8e7" w:themeFill="accent4" w:themeFillTint="40"/>
      </w:tcPr>
    </w:tblStylePr>
    <w:tblStylePr w:type="band1Vert">
      <w:rPr>
        <w:sz w:val="22"/>
      </w:rPr>
      <w:tcPr>
        <w:shd w:val="clear" w:color="ffffff" w:fill="dfd8e7" w:themeFill="accent4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887">
    <w:name w:val="List Table 2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sz w:val="22"/>
      </w:rPr>
      <w:tcPr>
        <w:shd w:val="clear" w:color="ffffff" w:fill="d1eaf0" w:themeFill="accent5" w:themeFillTint="40"/>
      </w:tcPr>
    </w:tblStylePr>
    <w:tblStylePr w:type="band1Vert">
      <w:rPr>
        <w:sz w:val="22"/>
      </w:rPr>
      <w:tcPr>
        <w:shd w:val="clear" w:color="ffffff" w:fill="d1eaf0" w:themeFill="accent5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888">
    <w:name w:val="List Table 2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sz w:val="22"/>
      </w:rPr>
      <w:tcPr>
        <w:shd w:val="clear" w:color="ffffff" w:fill="fce4d1" w:themeFill="accent6" w:themeFillTint="40"/>
      </w:tcPr>
    </w:tblStylePr>
    <w:tblStylePr w:type="band1Vert">
      <w:rPr>
        <w:sz w:val="22"/>
      </w:rPr>
      <w:tcPr>
        <w:shd w:val="clear" w:color="ffffff" w:fill="fce4d1" w:themeFill="accent6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889">
    <w:name w:val="List Table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000000" w:themeFill="tex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90">
    <w:name w:val="List Table 3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4f81bd" w:themeFill="accen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91">
    <w:name w:val="List Table 3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sz w:val="22"/>
      </w:rPr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sz w:val="22"/>
      </w:rPr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d99694" w:themeFill="accent2" w:themeFillTint="97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92">
    <w:name w:val="List Table 3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sz w:val="22"/>
      </w:rPr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sz w:val="22"/>
      </w:rPr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c3d69b" w:themeFill="accent3" w:themeFillTint="98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93">
    <w:name w:val="List Table 3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sz w:val="22"/>
      </w:rPr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sz w:val="22"/>
      </w:rPr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b2a1c6" w:themeFill="accent4" w:themeFillTint="9A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94">
    <w:name w:val="List Table 3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sz w:val="22"/>
      </w:rPr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sz w:val="22"/>
      </w:rPr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91cddc" w:themeFill="accent5" w:themeFillTint="9A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95">
    <w:name w:val="List Table 3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sz w:val="22"/>
      </w:rPr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sz w:val="22"/>
      </w:rPr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f9bf90" w:themeFill="accent6" w:themeFillTint="98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96">
    <w:name w:val="List Table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sz w:val="22"/>
      </w:rPr>
      <w:tcPr>
        <w:shd w:val="clear" w:color="ffffff" w:fill="bfbfbf" w:themeFill="text1" w:themeFillTint="40"/>
      </w:tcPr>
    </w:tblStylePr>
    <w:tblStylePr w:type="band1Vert">
      <w:rPr>
        <w:sz w:val="22"/>
      </w:rPr>
      <w:tcPr>
        <w:shd w:val="clear" w:color="ffffff" w:fill="bfbfbf" w:themeFill="text1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000000" w:themeFill="tex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97">
    <w:name w:val="List Table 4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sz w:val="22"/>
      </w:rPr>
      <w:tcPr>
        <w:shd w:val="clear" w:color="ffffff" w:fill="d3e0ee" w:themeFill="accent1" w:themeFillTint="40"/>
      </w:tcPr>
    </w:tblStylePr>
    <w:tblStylePr w:type="band1Vert">
      <w:rPr>
        <w:sz w:val="22"/>
      </w:rPr>
      <w:tcPr>
        <w:shd w:val="clear" w:color="ffffff" w:fill="d3e0ee" w:themeFill="accent1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4f81bd" w:themeFill="accen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98">
    <w:name w:val="List Table 4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sz w:val="22"/>
      </w:rPr>
      <w:tcPr>
        <w:shd w:val="clear" w:color="ffffff" w:fill="efd3d2" w:themeFill="accent2" w:themeFillTint="40"/>
      </w:tcPr>
    </w:tblStylePr>
    <w:tblStylePr w:type="band1Vert">
      <w:rPr>
        <w:sz w:val="22"/>
      </w:rPr>
      <w:tcPr>
        <w:shd w:val="clear" w:color="ffffff" w:fill="efd3d2" w:themeFill="accent2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c0504d" w:themeFill="accent2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99">
    <w:name w:val="List Table 4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sz w:val="22"/>
      </w:rPr>
      <w:tcPr>
        <w:shd w:val="clear" w:color="ffffff" w:fill="e6eed5" w:themeFill="accent3" w:themeFillTint="40"/>
      </w:tcPr>
    </w:tblStylePr>
    <w:tblStylePr w:type="band1Vert">
      <w:rPr>
        <w:sz w:val="22"/>
      </w:rPr>
      <w:tcPr>
        <w:shd w:val="clear" w:color="ffffff" w:fill="e6eed5" w:themeFill="accent3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9bbb59" w:themeFill="accent3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900">
    <w:name w:val="List Table 4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sz w:val="22"/>
      </w:rPr>
      <w:tcPr>
        <w:shd w:val="clear" w:color="ffffff" w:fill="dfd8e7" w:themeFill="accent4" w:themeFillTint="40"/>
      </w:tcPr>
    </w:tblStylePr>
    <w:tblStylePr w:type="band1Vert">
      <w:rPr>
        <w:sz w:val="22"/>
      </w:rPr>
      <w:tcPr>
        <w:shd w:val="clear" w:color="ffffff" w:fill="dfd8e7" w:themeFill="accent4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8064a2" w:themeFill="accent4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901">
    <w:name w:val="List Table 4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sz w:val="22"/>
      </w:rPr>
      <w:tcPr>
        <w:shd w:val="clear" w:color="ffffff" w:fill="d1eaf0" w:themeFill="accent5" w:themeFillTint="40"/>
      </w:tcPr>
    </w:tblStylePr>
    <w:tblStylePr w:type="band1Vert">
      <w:rPr>
        <w:sz w:val="22"/>
      </w:rPr>
      <w:tcPr>
        <w:shd w:val="clear" w:color="ffffff" w:fill="d1eaf0" w:themeFill="accent5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4bacc6" w:themeFill="accent5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902">
    <w:name w:val="List Table 4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sz w:val="22"/>
      </w:rPr>
      <w:tcPr>
        <w:shd w:val="clear" w:color="ffffff" w:fill="fce4d1" w:themeFill="accent6" w:themeFillTint="40"/>
      </w:tcPr>
    </w:tblStylePr>
    <w:tblStylePr w:type="band1Vert">
      <w:rPr>
        <w:sz w:val="22"/>
      </w:rPr>
      <w:tcPr>
        <w:shd w:val="clear" w:color="ffffff" w:fill="fce4d1" w:themeFill="accent6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f79646" w:themeFill="accent6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903">
    <w:name w:val="List Table 5 Dark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cPr>
        <w:shd w:val="clear" w:color="ffffff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7f7f7f" w:themeFill="text1" w:themeFillTint="80"/>
        <w:tcBorders>
          <w:top w:val="single" w:color="000000" w:themeColor="tex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904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cPr>
        <w:shd w:val="clear" w:color="ffffff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905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cPr>
        <w:shd w:val="clear" w:color="ffffff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d99694" w:themeFill="accent2" w:themeFillTint="97"/>
        <w:tcBorders>
          <w:top w:val="single" w:color="000000" w:themeColor="accent2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906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cPr>
        <w:shd w:val="clear" w:color="ffffff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c3d69b" w:themeFill="accent3" w:themeFillTint="98"/>
        <w:tcBorders>
          <w:top w:val="single" w:color="000000" w:themeColor="accent3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907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cPr>
        <w:shd w:val="clear" w:color="ffffff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b2a1c6" w:themeFill="accent4" w:themeFillTint="9A"/>
        <w:tcBorders>
          <w:top w:val="single" w:color="000000" w:themeColor="accent4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908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cPr>
        <w:shd w:val="clear" w:color="ffffff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91cddc" w:themeFill="accent5" w:themeFillTint="9A"/>
        <w:tcBorders>
          <w:top w:val="single" w:color="000000" w:themeColor="accent5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909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cPr>
        <w:shd w:val="clear" w:color="ffffff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9bf90" w:themeFill="accent6" w:themeFillTint="98"/>
        <w:tcBorders>
          <w:top w:val="single" w:color="000000" w:themeColor="accent6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910">
    <w:name w:val="List Table 6 Colorful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val="000000" w:themeColor="text1"/>
        <w:sz w:val="22"/>
      </w:rPr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sz="4" w:space="0"/>
        </w:tcBorders>
      </w:tcPr>
    </w:tblStylePr>
  </w:style>
  <w:style w:type="table" w:styleId="911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val="2a4b71" w:themeColor="accent1" w:themeShade="95"/>
        <w:sz w:val="22"/>
      </w:rPr>
      <w:tcPr>
        <w:shd w:val="clear" w:color="ffffff" w:fill="d3e0ee" w:themeFill="accent1" w:themeFillTint="40"/>
      </w:tcPr>
    </w:tblStylePr>
    <w:tblStylePr w:type="band1Vert">
      <w:tcPr>
        <w:shd w:val="clear" w:color="ffffff" w:fill="d3e0ee" w:themeFill="accent1" w:themeFillTint="40"/>
      </w:tcPr>
    </w:tblStylePr>
    <w:tblStylePr w:type="band2Horz">
      <w:rPr>
        <w:color w:val="2a4b71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12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cPr>
        <w:shd w:val="clear" w:color="ffffff" w:fill="efd3d2" w:themeFill="accent2" w:themeFillTint="40"/>
      </w:tcPr>
    </w:tblStylePr>
    <w:tblStylePr w:type="band1Vert">
      <w:tcPr>
        <w:shd w:val="clear" w:color="ffffff" w:fill="efd3d2" w:themeFill="accent2" w:themeFillTint="40"/>
      </w:tcPr>
    </w:tblStylePr>
    <w:tblStylePr w:type="band2Horz">
      <w:rPr>
        <w:color w:val="9c3a37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sz="4" w:space="0"/>
        </w:tcBorders>
      </w:tcPr>
    </w:tblStylePr>
  </w:style>
  <w:style w:type="table" w:styleId="913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val="7c983f" w:themeColor="accent3" w:themeTint="98" w:themeShade="95"/>
        <w:sz w:val="22"/>
      </w:rPr>
      <w:tcPr>
        <w:shd w:val="clear" w:color="ffffff" w:fill="e6eed5" w:themeFill="accent3" w:themeFillTint="40"/>
      </w:tcPr>
    </w:tblStylePr>
    <w:tblStylePr w:type="band1Vert">
      <w:tcPr>
        <w:shd w:val="clear" w:color="ffffff" w:fill="e6eed5" w:themeFill="accent3" w:themeFillTint="40"/>
      </w:tcPr>
    </w:tblStylePr>
    <w:tblStylePr w:type="band2Horz">
      <w:rPr>
        <w:color w:val="7c983f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sz="4" w:space="0"/>
        </w:tcBorders>
      </w:tcPr>
    </w:tblStylePr>
  </w:style>
  <w:style w:type="table" w:styleId="914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cPr>
        <w:shd w:val="clear" w:color="ffffff" w:fill="dfd8e7" w:themeFill="accent4" w:themeFillTint="40"/>
      </w:tcPr>
    </w:tblStylePr>
    <w:tblStylePr w:type="band1Vert">
      <w:tcPr>
        <w:shd w:val="clear" w:color="ffffff" w:fill="dfd8e7" w:themeFill="accent4" w:themeFillTint="40"/>
      </w:tcPr>
    </w:tblStylePr>
    <w:tblStylePr w:type="band2Horz">
      <w:rPr>
        <w:color w:val="664f82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sz="4" w:space="0"/>
        </w:tcBorders>
      </w:tcPr>
    </w:tblStylePr>
  </w:style>
  <w:style w:type="table" w:styleId="915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val="338aa0" w:themeColor="accent5" w:themeTint="9A" w:themeShade="95"/>
        <w:sz w:val="22"/>
      </w:rPr>
      <w:tcPr>
        <w:shd w:val="clear" w:color="ffffff" w:fill="d1eaf0" w:themeFill="accent5" w:themeFillTint="40"/>
      </w:tcPr>
    </w:tblStylePr>
    <w:tblStylePr w:type="band1Vert">
      <w:tcPr>
        <w:shd w:val="clear" w:color="ffffff" w:fill="d1eaf0" w:themeFill="accent5" w:themeFillTint="40"/>
      </w:tcPr>
    </w:tblStylePr>
    <w:tblStylePr w:type="band2Horz">
      <w:rPr>
        <w:color w:val="338aa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sz="4" w:space="0"/>
        </w:tcBorders>
      </w:tcPr>
    </w:tblStylePr>
  </w:style>
  <w:style w:type="table" w:styleId="916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val="d9680c" w:themeColor="accent6" w:themeTint="98" w:themeShade="95"/>
        <w:sz w:val="22"/>
      </w:rPr>
      <w:tcPr>
        <w:shd w:val="clear" w:color="ffffff" w:fill="fce4d1" w:themeFill="accent6" w:themeFillTint="40"/>
      </w:tcPr>
    </w:tblStylePr>
    <w:tblStylePr w:type="band1Vert">
      <w:tcPr>
        <w:shd w:val="clear" w:color="ffffff" w:fill="fce4d1" w:themeFill="accent6" w:themeFillTint="40"/>
      </w:tcPr>
    </w:tblStylePr>
    <w:tblStylePr w:type="band2Horz">
      <w:rPr>
        <w:color w:val="d9680c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sz="4" w:space="0"/>
        </w:tcBorders>
      </w:tcPr>
    </w:tblStylePr>
  </w:style>
  <w:style w:type="table" w:styleId="917">
    <w:name w:val="List Table 7 Colorful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i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4a4a4a" w:themeColor="text1" w:themeTint="80" w:themeShade="95"/>
        <w:sz w:val="22"/>
      </w:rPr>
    </w:tblStylePr>
  </w:style>
  <w:style w:type="table" w:styleId="918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1" w:sz="4" w:space="0"/>
      </w:tblBorders>
    </w:tblPr>
    <w:tblStylePr w:type="band1Horz">
      <w:rPr>
        <w:color w:val="2a4b71" w:themeColor="accent1" w:themeShade="95"/>
        <w:sz w:val="22"/>
      </w:rPr>
      <w:tcPr>
        <w:shd w:val="clear" w:color="ffffff" w:fill="d3e0ee" w:themeFill="accent1" w:themeFillTint="40"/>
      </w:tcPr>
    </w:tblStylePr>
    <w:tblStylePr w:type="band1Vert">
      <w:tcPr>
        <w:shd w:val="clear" w:color="ffffff" w:fill="d3e0ee" w:themeFill="accent1" w:themeFillTint="40"/>
      </w:tcPr>
    </w:tblStylePr>
    <w:tblStylePr w:type="band2Horz">
      <w:rPr>
        <w:color w:val="2a4b71" w:themeColor="accent1" w:themeShade="95"/>
        <w:sz w:val="22"/>
      </w:rPr>
    </w:tblStylePr>
    <w:tblStylePr w:type="firstCol">
      <w:rPr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i/>
        <w:color w:val="2a4b71" w:themeColor="accent1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a4b71" w:themeColor="accent1" w:themeShade="95"/>
        <w:sz w:val="22"/>
      </w:rPr>
      <w:tcPr>
        <w:shd w:val="clear" w:color="ffffff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2a4b71" w:themeColor="accent1" w:themeShade="95"/>
        <w:sz w:val="22"/>
      </w:rPr>
    </w:tblStylePr>
  </w:style>
  <w:style w:type="table" w:styleId="919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cPr>
        <w:shd w:val="clear" w:color="ffffff" w:fill="efd3d2" w:themeFill="accent2" w:themeFillTint="40"/>
      </w:tcPr>
    </w:tblStylePr>
    <w:tblStylePr w:type="band1Vert">
      <w:tcPr>
        <w:shd w:val="clear" w:color="ffffff" w:fill="efd3d2" w:themeFill="accent2" w:themeFillTint="40"/>
      </w:tcPr>
    </w:tblStylePr>
    <w:tblStylePr w:type="band2Horz">
      <w:rPr>
        <w:color w:val="9c3a37" w:themeColor="accent2" w:themeTint="97" w:themeShade="95"/>
        <w:sz w:val="22"/>
      </w:rPr>
    </w:tblStylePr>
    <w:tblStylePr w:type="firstCol">
      <w:rPr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i/>
        <w:color w:val="9c3a37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9c3a37" w:themeColor="accent2" w:themeTint="97" w:themeShade="95"/>
        <w:sz w:val="22"/>
      </w:rPr>
      <w:tcPr>
        <w:shd w:val="clear" w:color="ffffff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9c3a37" w:themeColor="accent2" w:themeTint="97" w:themeShade="95"/>
        <w:sz w:val="22"/>
      </w:rPr>
    </w:tblStylePr>
  </w:style>
  <w:style w:type="table" w:styleId="920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blStylePr w:type="band1Horz">
      <w:rPr>
        <w:color w:val="7c983f" w:themeColor="accent3" w:themeTint="98" w:themeShade="95"/>
        <w:sz w:val="22"/>
      </w:rPr>
      <w:tcPr>
        <w:shd w:val="clear" w:color="ffffff" w:fill="e6eed5" w:themeFill="accent3" w:themeFillTint="40"/>
      </w:tcPr>
    </w:tblStylePr>
    <w:tblStylePr w:type="band1Vert">
      <w:tcPr>
        <w:shd w:val="clear" w:color="ffffff" w:fill="e6eed5" w:themeFill="accent3" w:themeFillTint="40"/>
      </w:tcPr>
    </w:tblStylePr>
    <w:tblStylePr w:type="band2Horz">
      <w:rPr>
        <w:color w:val="7c983f" w:themeColor="accent3" w:themeTint="98" w:themeShade="95"/>
        <w:sz w:val="22"/>
      </w:rPr>
    </w:tblStylePr>
    <w:tblStylePr w:type="firstCol">
      <w:rPr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i/>
        <w:color w:val="7c983f" w:themeColor="accent3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c983f" w:themeColor="accent3" w:themeTint="98" w:themeShade="95"/>
        <w:sz w:val="22"/>
      </w:rPr>
      <w:tcPr>
        <w:shd w:val="clear" w:color="ffffff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7c983f" w:themeColor="accent3" w:themeTint="98" w:themeShade="95"/>
        <w:sz w:val="22"/>
      </w:rPr>
    </w:tblStylePr>
  </w:style>
  <w:style w:type="table" w:styleId="921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cPr>
        <w:shd w:val="clear" w:color="ffffff" w:fill="dfd8e7" w:themeFill="accent4" w:themeFillTint="40"/>
      </w:tcPr>
    </w:tblStylePr>
    <w:tblStylePr w:type="band1Vert">
      <w:tcPr>
        <w:shd w:val="clear" w:color="ffffff" w:fill="dfd8e7" w:themeFill="accent4" w:themeFillTint="40"/>
      </w:tcPr>
    </w:tblStylePr>
    <w:tblStylePr w:type="band2Horz">
      <w:rPr>
        <w:color w:val="664f82" w:themeColor="accent4" w:themeTint="9A" w:themeShade="95"/>
        <w:sz w:val="22"/>
      </w:rPr>
    </w:tblStylePr>
    <w:tblStylePr w:type="firstCol">
      <w:rPr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i/>
        <w:color w:val="664f82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664f82" w:themeColor="accent4" w:themeTint="9A" w:themeShade="95"/>
        <w:sz w:val="22"/>
      </w:rPr>
      <w:tcPr>
        <w:shd w:val="clear" w:color="ffffff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664f82" w:themeColor="accent4" w:themeTint="9A" w:themeShade="95"/>
        <w:sz w:val="22"/>
      </w:rPr>
    </w:tblStylePr>
  </w:style>
  <w:style w:type="table" w:styleId="922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blStylePr w:type="band1Horz">
      <w:rPr>
        <w:color w:val="338aa0" w:themeColor="accent5" w:themeTint="9A" w:themeShade="95"/>
        <w:sz w:val="22"/>
      </w:rPr>
      <w:tcPr>
        <w:shd w:val="clear" w:color="ffffff" w:fill="d1eaf0" w:themeFill="accent5" w:themeFillTint="40"/>
      </w:tcPr>
    </w:tblStylePr>
    <w:tblStylePr w:type="band1Vert">
      <w:tcPr>
        <w:shd w:val="clear" w:color="ffffff" w:fill="d1eaf0" w:themeFill="accent5" w:themeFillTint="40"/>
      </w:tcPr>
    </w:tblStylePr>
    <w:tblStylePr w:type="band2Horz">
      <w:rPr>
        <w:color w:val="338aa0" w:themeColor="accent5" w:themeTint="9A" w:themeShade="95"/>
        <w:sz w:val="22"/>
      </w:rPr>
    </w:tblStylePr>
    <w:tblStylePr w:type="firstCol">
      <w:rPr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i/>
        <w:color w:val="338aa0" w:themeColor="accent5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338aa0" w:themeColor="accent5" w:themeTint="9A" w:themeShade="95"/>
        <w:sz w:val="22"/>
      </w:rPr>
      <w:tcPr>
        <w:shd w:val="clear" w:color="ffffff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338aa0" w:themeColor="accent5" w:themeTint="9A" w:themeShade="95"/>
        <w:sz w:val="22"/>
      </w:rPr>
    </w:tblStylePr>
  </w:style>
  <w:style w:type="table" w:styleId="923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blStylePr w:type="band1Horz">
      <w:rPr>
        <w:color w:val="d9680c" w:themeColor="accent6" w:themeTint="98" w:themeShade="95"/>
        <w:sz w:val="22"/>
      </w:rPr>
      <w:tcPr>
        <w:shd w:val="clear" w:color="ffffff" w:fill="fce4d1" w:themeFill="accent6" w:themeFillTint="40"/>
      </w:tcPr>
    </w:tblStylePr>
    <w:tblStylePr w:type="band1Vert">
      <w:tcPr>
        <w:shd w:val="clear" w:color="ffffff" w:fill="fce4d1" w:themeFill="accent6" w:themeFillTint="40"/>
      </w:tcPr>
    </w:tblStylePr>
    <w:tblStylePr w:type="band2Horz">
      <w:rPr>
        <w:color w:val="d9680c" w:themeColor="accent6" w:themeTint="98" w:themeShade="95"/>
        <w:sz w:val="22"/>
      </w:rPr>
    </w:tblStylePr>
    <w:tblStylePr w:type="firstCol">
      <w:rPr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i/>
        <w:color w:val="d9680c" w:themeColor="accent6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d9680c" w:themeColor="accent6" w:themeTint="98" w:themeShade="95"/>
        <w:sz w:val="22"/>
      </w:rPr>
      <w:tcPr>
        <w:shd w:val="clear" w:color="ffffff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d9680c" w:themeColor="accent6" w:themeTint="98" w:themeShade="95"/>
        <w:sz w:val="22"/>
      </w:rPr>
    </w:tblStylePr>
  </w:style>
  <w:style w:type="table" w:styleId="924">
    <w:name w:val="Lined - Accent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2f2f2" w:themeFill="text1" w:themeFillTint="00"/>
      </w:tcPr>
    </w:tblStylePr>
    <w:tblStylePr w:type="band2Vert">
      <w:rPr>
        <w:sz w:val="22"/>
      </w:rPr>
      <w:tcPr>
        <w:shd w:val="clear" w:color="ffffff" w:fill="f2f2f2" w:themeFill="text1" w:themeFillTint="00"/>
      </w:tcPr>
    </w:tblStylePr>
    <w:tblStylePr w:type="firstCol">
      <w:rPr>
        <w:sz w:val="22"/>
      </w:rPr>
      <w:tcPr>
        <w:shd w:val="clear" w:color="ffffff" w:fill="7f7f7f" w:themeFill="text1" w:themeFillTint="80"/>
      </w:tcPr>
    </w:tblStylePr>
    <w:tblStylePr w:type="firstRow">
      <w:rPr>
        <w:sz w:val="22"/>
      </w:rPr>
      <w:tcPr>
        <w:shd w:val="clear" w:color="ffffff" w:fill="7f7f7f" w:themeFill="text1" w:themeFillTint="80"/>
      </w:tcPr>
    </w:tblStylePr>
    <w:tblStylePr w:type="lastCol">
      <w:rPr>
        <w:sz w:val="22"/>
      </w:rPr>
      <w:tcPr>
        <w:shd w:val="clear" w:color="ffffff" w:fill="7f7f7f" w:themeFill="text1" w:themeFillTint="80"/>
      </w:tcPr>
    </w:tblStylePr>
    <w:tblStylePr w:type="lastRow">
      <w:rPr>
        <w:sz w:val="22"/>
      </w:rPr>
      <w:tcPr>
        <w:shd w:val="clear" w:color="ffffff" w:fill="7f7f7f" w:themeFill="text1" w:themeFillTint="80"/>
      </w:tcPr>
    </w:tblStylePr>
  </w:style>
  <w:style w:type="table" w:styleId="925">
    <w:name w:val="Lined - Accent 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c7d7ea" w:themeFill="accent1" w:themeFillTint="50"/>
      </w:tcPr>
    </w:tblStylePr>
    <w:tblStylePr w:type="band2Vert">
      <w:rPr>
        <w:sz w:val="22"/>
      </w:rPr>
      <w:tcPr>
        <w:shd w:val="clear" w:color="ffffff" w:fill="c7d7ea" w:themeFill="accent1" w:themeFillTint="50"/>
      </w:tcPr>
    </w:tblStylePr>
    <w:tblStylePr w:type="firstCol">
      <w:rPr>
        <w:sz w:val="22"/>
      </w:rPr>
      <w:tcPr>
        <w:shd w:val="clear" w:color="ffffff" w:fill="5d8dc2" w:themeFill="accent1" w:themeFillTint="EA"/>
      </w:tcPr>
    </w:tblStylePr>
    <w:tblStylePr w:type="firstRow">
      <w:rPr>
        <w:sz w:val="22"/>
      </w:rPr>
      <w:tcPr>
        <w:shd w:val="clear" w:color="ffffff" w:fill="5d8dc2" w:themeFill="accent1" w:themeFillTint="EA"/>
      </w:tcPr>
    </w:tblStylePr>
    <w:tblStylePr w:type="lastCol">
      <w:rPr>
        <w:sz w:val="22"/>
      </w:rPr>
      <w:tcPr>
        <w:shd w:val="clear" w:color="ffffff" w:fill="5d8dc2" w:themeFill="accent1" w:themeFillTint="EA"/>
      </w:tcPr>
    </w:tblStylePr>
    <w:tblStylePr w:type="lastRow">
      <w:rPr>
        <w:sz w:val="22"/>
      </w:rPr>
      <w:tcPr>
        <w:shd w:val="clear" w:color="ffffff" w:fill="5d8dc2" w:themeFill="accent1" w:themeFillTint="EA"/>
      </w:tcPr>
    </w:tblStylePr>
  </w:style>
  <w:style w:type="table" w:styleId="926">
    <w:name w:val="Lined - Accent 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2dcdb" w:themeFill="accent2" w:themeFillTint="32"/>
      </w:tcPr>
    </w:tblStylePr>
    <w:tblStylePr w:type="band2Vert">
      <w:rPr>
        <w:sz w:val="22"/>
      </w:rPr>
      <w:tcPr>
        <w:shd w:val="clear" w:color="ffffff" w:fill="f2dcdb" w:themeFill="accent2" w:themeFillTint="32"/>
      </w:tcPr>
    </w:tblStylePr>
    <w:tblStylePr w:type="firstCol">
      <w:rPr>
        <w:sz w:val="22"/>
      </w:rPr>
      <w:tcPr>
        <w:shd w:val="clear" w:color="ffffff" w:fill="d99694" w:themeFill="accent2" w:themeFillTint="97"/>
      </w:tcPr>
    </w:tblStylePr>
    <w:tblStylePr w:type="firstRow">
      <w:rPr>
        <w:sz w:val="22"/>
      </w:rPr>
      <w:tcPr>
        <w:shd w:val="clear" w:color="ffffff" w:fill="d99694" w:themeFill="accent2" w:themeFillTint="97"/>
      </w:tcPr>
    </w:tblStylePr>
    <w:tblStylePr w:type="lastCol">
      <w:rPr>
        <w:sz w:val="22"/>
      </w:rPr>
      <w:tcPr>
        <w:shd w:val="clear" w:color="ffffff" w:fill="d99694" w:themeFill="accent2" w:themeFillTint="97"/>
      </w:tcPr>
    </w:tblStylePr>
    <w:tblStylePr w:type="lastRow">
      <w:rPr>
        <w:sz w:val="22"/>
      </w:rPr>
      <w:tcPr>
        <w:shd w:val="clear" w:color="ffffff" w:fill="d99694" w:themeFill="accent2" w:themeFillTint="97"/>
      </w:tcPr>
    </w:tblStylePr>
  </w:style>
  <w:style w:type="table" w:styleId="927">
    <w:name w:val="Lined - Accent 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eaf0dd" w:themeFill="accent3" w:themeFillTint="34"/>
      </w:tcPr>
    </w:tblStylePr>
    <w:tblStylePr w:type="band2Vert">
      <w:rPr>
        <w:sz w:val="22"/>
      </w:rPr>
      <w:tcPr>
        <w:shd w:val="clear" w:color="ffffff" w:fill="eaf0dd" w:themeFill="accent3" w:themeFillTint="34"/>
      </w:tcPr>
    </w:tblStylePr>
    <w:tblStylePr w:type="firstCol">
      <w:rPr>
        <w:sz w:val="22"/>
      </w:rPr>
      <w:tcPr>
        <w:shd w:val="clear" w:color="ffffff" w:fill="9bba59" w:themeFill="accent3" w:themeFillTint="FE"/>
      </w:tcPr>
    </w:tblStylePr>
    <w:tblStylePr w:type="firstRow">
      <w:rPr>
        <w:sz w:val="22"/>
      </w:rPr>
      <w:tcPr>
        <w:shd w:val="clear" w:color="ffffff" w:fill="9bba59" w:themeFill="accent3" w:themeFillTint="FE"/>
      </w:tcPr>
    </w:tblStylePr>
    <w:tblStylePr w:type="lastCol">
      <w:rPr>
        <w:sz w:val="22"/>
      </w:rPr>
      <w:tcPr>
        <w:shd w:val="clear" w:color="ffffff" w:fill="9bba59" w:themeFill="accent3" w:themeFillTint="FE"/>
      </w:tcPr>
    </w:tblStylePr>
    <w:tblStylePr w:type="lastRow">
      <w:rPr>
        <w:sz w:val="22"/>
      </w:rPr>
      <w:tcPr>
        <w:shd w:val="clear" w:color="ffffff" w:fill="9bba59" w:themeFill="accent3" w:themeFillTint="FE"/>
      </w:tcPr>
    </w:tblStylePr>
  </w:style>
  <w:style w:type="table" w:styleId="928">
    <w:name w:val="Lined - Accent 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e5dfec" w:themeFill="accent4" w:themeFillTint="34"/>
      </w:tcPr>
    </w:tblStylePr>
    <w:tblStylePr w:type="band2Vert">
      <w:rPr>
        <w:sz w:val="22"/>
      </w:rPr>
      <w:tcPr>
        <w:shd w:val="clear" w:color="ffffff" w:fill="e5dfec" w:themeFill="accent4" w:themeFillTint="34"/>
      </w:tcPr>
    </w:tblStylePr>
    <w:tblStylePr w:type="firstCol">
      <w:rPr>
        <w:sz w:val="22"/>
      </w:rPr>
      <w:tcPr>
        <w:shd w:val="clear" w:color="ffffff" w:fill="b2a1c6" w:themeFill="accent4" w:themeFillTint="9A"/>
      </w:tcPr>
    </w:tblStylePr>
    <w:tblStylePr w:type="firstRow">
      <w:rPr>
        <w:sz w:val="22"/>
      </w:rPr>
      <w:tcPr>
        <w:shd w:val="clear" w:color="ffffff" w:fill="b2a1c6" w:themeFill="accent4" w:themeFillTint="9A"/>
      </w:tcPr>
    </w:tblStylePr>
    <w:tblStylePr w:type="lastCol">
      <w:rPr>
        <w:sz w:val="22"/>
      </w:rPr>
      <w:tcPr>
        <w:shd w:val="clear" w:color="ffffff" w:fill="b2a1c6" w:themeFill="accent4" w:themeFillTint="9A"/>
      </w:tcPr>
    </w:tblStylePr>
    <w:tblStylePr w:type="lastRow">
      <w:rPr>
        <w:sz w:val="22"/>
      </w:rPr>
      <w:tcPr>
        <w:shd w:val="clear" w:color="ffffff" w:fill="b2a1c6" w:themeFill="accent4" w:themeFillTint="9A"/>
      </w:tcPr>
    </w:tblStylePr>
  </w:style>
  <w:style w:type="table" w:styleId="929">
    <w:name w:val="Lined - Accent 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daeef3" w:themeFill="accent5" w:themeFillTint="34"/>
      </w:tcPr>
    </w:tblStylePr>
    <w:tblStylePr w:type="band2Vert">
      <w:rPr>
        <w:sz w:val="22"/>
      </w:rPr>
      <w:tcPr>
        <w:shd w:val="clear" w:color="ffffff" w:fill="daeef3" w:themeFill="accent5" w:themeFillTint="34"/>
      </w:tcPr>
    </w:tblStylePr>
    <w:tblStylePr w:type="firstCol">
      <w:rPr>
        <w:sz w:val="22"/>
      </w:rPr>
      <w:tcPr>
        <w:shd w:val="clear" w:color="ffffff" w:fill="4bacc6" w:themeFill="accent5"/>
      </w:tcPr>
    </w:tblStylePr>
    <w:tblStylePr w:type="firstRow">
      <w:rPr>
        <w:sz w:val="22"/>
      </w:rPr>
      <w:tcPr>
        <w:shd w:val="clear" w:color="ffffff" w:fill="4bacc6" w:themeFill="accent5"/>
      </w:tcPr>
    </w:tblStylePr>
    <w:tblStylePr w:type="lastCol">
      <w:rPr>
        <w:sz w:val="22"/>
      </w:rPr>
      <w:tcPr>
        <w:shd w:val="clear" w:color="ffffff" w:fill="4bacc6" w:themeFill="accent5"/>
      </w:tcPr>
    </w:tblStylePr>
    <w:tblStylePr w:type="lastRow">
      <w:rPr>
        <w:sz w:val="22"/>
      </w:rPr>
      <w:tcPr>
        <w:shd w:val="clear" w:color="ffffff" w:fill="4bacc6" w:themeFill="accent5"/>
      </w:tcPr>
    </w:tblStylePr>
  </w:style>
  <w:style w:type="table" w:styleId="930">
    <w:name w:val="Lined - Accent 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de9d8" w:themeFill="accent6" w:themeFillTint="34"/>
      </w:tcPr>
    </w:tblStylePr>
    <w:tblStylePr w:type="band2Vert">
      <w:rPr>
        <w:sz w:val="22"/>
      </w:rPr>
      <w:tcPr>
        <w:shd w:val="clear" w:color="ffffff" w:fill="fde9d8" w:themeFill="accent6" w:themeFillTint="34"/>
      </w:tcPr>
    </w:tblStylePr>
    <w:tblStylePr w:type="firstCol">
      <w:rPr>
        <w:sz w:val="22"/>
      </w:rPr>
      <w:tcPr>
        <w:shd w:val="clear" w:color="ffffff" w:fill="f79646" w:themeFill="accent6"/>
      </w:tcPr>
    </w:tblStylePr>
    <w:tblStylePr w:type="firstRow">
      <w:rPr>
        <w:sz w:val="22"/>
      </w:rPr>
      <w:tcPr>
        <w:shd w:val="clear" w:color="ffffff" w:fill="f79646" w:themeFill="accent6"/>
      </w:tcPr>
    </w:tblStylePr>
    <w:tblStylePr w:type="lastCol">
      <w:rPr>
        <w:sz w:val="22"/>
      </w:rPr>
      <w:tcPr>
        <w:shd w:val="clear" w:color="ffffff" w:fill="f79646" w:themeFill="accent6"/>
      </w:tcPr>
    </w:tblStylePr>
    <w:tblStylePr w:type="lastRow">
      <w:rPr>
        <w:sz w:val="22"/>
      </w:rPr>
      <w:tcPr>
        <w:shd w:val="clear" w:color="ffffff" w:fill="f79646" w:themeFill="accent6"/>
      </w:tcPr>
    </w:tblStylePr>
  </w:style>
  <w:style w:type="table" w:styleId="931">
    <w:name w:val="Bordered &amp; Lined - Accent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2f2f2" w:themeFill="text1" w:themeFillTint="00"/>
      </w:tcPr>
    </w:tblStylePr>
    <w:tblStylePr w:type="band2Vert">
      <w:rPr>
        <w:sz w:val="22"/>
      </w:rPr>
      <w:tcPr>
        <w:shd w:val="clear" w:color="ffffff" w:fill="f2f2f2" w:themeFill="text1" w:themeFillTint="00"/>
      </w:tcPr>
    </w:tblStylePr>
    <w:tblStylePr w:type="firstCol">
      <w:rPr>
        <w:sz w:val="22"/>
      </w:rPr>
      <w:tcPr>
        <w:shd w:val="clear" w:color="ffffff" w:fill="7f7f7f" w:themeFill="text1" w:themeFillTint="80"/>
      </w:tcPr>
    </w:tblStylePr>
    <w:tblStylePr w:type="firstRow">
      <w:rPr>
        <w:sz w:val="22"/>
      </w:rPr>
      <w:tcPr>
        <w:shd w:val="clear" w:color="ffffff" w:fill="7f7f7f" w:themeFill="text1" w:themeFillTint="80"/>
      </w:tcPr>
    </w:tblStylePr>
    <w:tblStylePr w:type="lastCol">
      <w:rPr>
        <w:sz w:val="22"/>
      </w:rPr>
      <w:tcPr>
        <w:shd w:val="clear" w:color="ffffff" w:fill="7f7f7f" w:themeFill="text1" w:themeFillTint="80"/>
      </w:tcPr>
    </w:tblStylePr>
    <w:tblStylePr w:type="lastRow">
      <w:rPr>
        <w:sz w:val="22"/>
      </w:rPr>
      <w:tcPr>
        <w:shd w:val="clear" w:color="ffffff" w:fill="7f7f7f" w:themeFill="text1" w:themeFillTint="80"/>
      </w:tcPr>
    </w:tblStylePr>
  </w:style>
  <w:style w:type="table" w:styleId="932">
    <w:name w:val="Bordered &amp; Lined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c7d7ea" w:themeFill="accent1" w:themeFillTint="50"/>
      </w:tcPr>
    </w:tblStylePr>
    <w:tblStylePr w:type="band2Vert">
      <w:rPr>
        <w:sz w:val="22"/>
      </w:rPr>
      <w:tcPr>
        <w:shd w:val="clear" w:color="ffffff" w:fill="c7d7ea" w:themeFill="accent1" w:themeFillTint="50"/>
      </w:tcPr>
    </w:tblStylePr>
    <w:tblStylePr w:type="firstCol">
      <w:rPr>
        <w:sz w:val="22"/>
      </w:rPr>
      <w:tcPr>
        <w:shd w:val="clear" w:color="ffffff" w:fill="5d8dc2" w:themeFill="accent1" w:themeFillTint="EA"/>
      </w:tcPr>
    </w:tblStylePr>
    <w:tblStylePr w:type="firstRow">
      <w:rPr>
        <w:sz w:val="22"/>
      </w:rPr>
      <w:tcPr>
        <w:shd w:val="clear" w:color="ffffff" w:fill="5d8dc2" w:themeFill="accent1" w:themeFillTint="EA"/>
      </w:tcPr>
    </w:tblStylePr>
    <w:tblStylePr w:type="lastCol">
      <w:rPr>
        <w:sz w:val="22"/>
      </w:rPr>
      <w:tcPr>
        <w:shd w:val="clear" w:color="ffffff" w:fill="5d8dc2" w:themeFill="accent1" w:themeFillTint="EA"/>
      </w:tcPr>
    </w:tblStylePr>
    <w:tblStylePr w:type="lastRow">
      <w:rPr>
        <w:sz w:val="22"/>
      </w:rPr>
      <w:tcPr>
        <w:shd w:val="clear" w:color="ffffff" w:fill="5d8dc2" w:themeFill="accent1" w:themeFillTint="EA"/>
      </w:tcPr>
    </w:tblStylePr>
  </w:style>
  <w:style w:type="table" w:styleId="933">
    <w:name w:val="Bordered &amp; Lined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2dcdb" w:themeFill="accent2" w:themeFillTint="32"/>
      </w:tcPr>
    </w:tblStylePr>
    <w:tblStylePr w:type="band2Vert">
      <w:rPr>
        <w:sz w:val="22"/>
      </w:rPr>
      <w:tcPr>
        <w:shd w:val="clear" w:color="ffffff" w:fill="f2dcdb" w:themeFill="accent2" w:themeFillTint="32"/>
      </w:tcPr>
    </w:tblStylePr>
    <w:tblStylePr w:type="firstCol">
      <w:rPr>
        <w:sz w:val="22"/>
      </w:rPr>
      <w:tcPr>
        <w:shd w:val="clear" w:color="ffffff" w:fill="d99694" w:themeFill="accent2" w:themeFillTint="97"/>
      </w:tcPr>
    </w:tblStylePr>
    <w:tblStylePr w:type="firstRow">
      <w:rPr>
        <w:sz w:val="22"/>
      </w:rPr>
      <w:tcPr>
        <w:shd w:val="clear" w:color="ffffff" w:fill="d99694" w:themeFill="accent2" w:themeFillTint="97"/>
      </w:tcPr>
    </w:tblStylePr>
    <w:tblStylePr w:type="lastCol">
      <w:rPr>
        <w:sz w:val="22"/>
      </w:rPr>
      <w:tcPr>
        <w:shd w:val="clear" w:color="ffffff" w:fill="d99694" w:themeFill="accent2" w:themeFillTint="97"/>
      </w:tcPr>
    </w:tblStylePr>
    <w:tblStylePr w:type="lastRow">
      <w:rPr>
        <w:sz w:val="22"/>
      </w:rPr>
      <w:tcPr>
        <w:shd w:val="clear" w:color="ffffff" w:fill="d99694" w:themeFill="accent2" w:themeFillTint="97"/>
      </w:tcPr>
    </w:tblStylePr>
  </w:style>
  <w:style w:type="table" w:styleId="934">
    <w:name w:val="Bordered &amp; Lined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eaf0dd" w:themeFill="accent3" w:themeFillTint="34"/>
      </w:tcPr>
    </w:tblStylePr>
    <w:tblStylePr w:type="band2Vert">
      <w:rPr>
        <w:sz w:val="22"/>
      </w:rPr>
      <w:tcPr>
        <w:shd w:val="clear" w:color="ffffff" w:fill="eaf0dd" w:themeFill="accent3" w:themeFillTint="34"/>
      </w:tcPr>
    </w:tblStylePr>
    <w:tblStylePr w:type="firstCol">
      <w:rPr>
        <w:sz w:val="22"/>
      </w:rPr>
      <w:tcPr>
        <w:shd w:val="clear" w:color="ffffff" w:fill="9bba59" w:themeFill="accent3" w:themeFillTint="FE"/>
      </w:tcPr>
    </w:tblStylePr>
    <w:tblStylePr w:type="firstRow">
      <w:rPr>
        <w:sz w:val="22"/>
      </w:rPr>
      <w:tcPr>
        <w:shd w:val="clear" w:color="ffffff" w:fill="9bba59" w:themeFill="accent3" w:themeFillTint="FE"/>
      </w:tcPr>
    </w:tblStylePr>
    <w:tblStylePr w:type="lastCol">
      <w:rPr>
        <w:sz w:val="22"/>
      </w:rPr>
      <w:tcPr>
        <w:shd w:val="clear" w:color="ffffff" w:fill="9bba59" w:themeFill="accent3" w:themeFillTint="FE"/>
      </w:tcPr>
    </w:tblStylePr>
    <w:tblStylePr w:type="lastRow">
      <w:rPr>
        <w:sz w:val="22"/>
      </w:rPr>
      <w:tcPr>
        <w:shd w:val="clear" w:color="ffffff" w:fill="9bba59" w:themeFill="accent3" w:themeFillTint="FE"/>
      </w:tcPr>
    </w:tblStylePr>
  </w:style>
  <w:style w:type="table" w:styleId="935">
    <w:name w:val="Bordered &amp; Lined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e5dfec" w:themeFill="accent4" w:themeFillTint="34"/>
      </w:tcPr>
    </w:tblStylePr>
    <w:tblStylePr w:type="band2Vert">
      <w:rPr>
        <w:sz w:val="22"/>
      </w:rPr>
      <w:tcPr>
        <w:shd w:val="clear" w:color="ffffff" w:fill="e5dfec" w:themeFill="accent4" w:themeFillTint="34"/>
      </w:tcPr>
    </w:tblStylePr>
    <w:tblStylePr w:type="firstCol">
      <w:rPr>
        <w:sz w:val="22"/>
      </w:rPr>
      <w:tcPr>
        <w:shd w:val="clear" w:color="ffffff" w:fill="b2a1c6" w:themeFill="accent4" w:themeFillTint="9A"/>
      </w:tcPr>
    </w:tblStylePr>
    <w:tblStylePr w:type="firstRow">
      <w:rPr>
        <w:sz w:val="22"/>
      </w:rPr>
      <w:tcPr>
        <w:shd w:val="clear" w:color="ffffff" w:fill="b2a1c6" w:themeFill="accent4" w:themeFillTint="9A"/>
      </w:tcPr>
    </w:tblStylePr>
    <w:tblStylePr w:type="lastCol">
      <w:rPr>
        <w:sz w:val="22"/>
      </w:rPr>
      <w:tcPr>
        <w:shd w:val="clear" w:color="ffffff" w:fill="b2a1c6" w:themeFill="accent4" w:themeFillTint="9A"/>
      </w:tcPr>
    </w:tblStylePr>
    <w:tblStylePr w:type="lastRow">
      <w:rPr>
        <w:sz w:val="22"/>
      </w:rPr>
      <w:tcPr>
        <w:shd w:val="clear" w:color="ffffff" w:fill="b2a1c6" w:themeFill="accent4" w:themeFillTint="9A"/>
      </w:tcPr>
    </w:tblStylePr>
  </w:style>
  <w:style w:type="table" w:styleId="936">
    <w:name w:val="Bordered &amp; Lined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daeef3" w:themeFill="accent5" w:themeFillTint="34"/>
      </w:tcPr>
    </w:tblStylePr>
    <w:tblStylePr w:type="band2Vert">
      <w:rPr>
        <w:sz w:val="22"/>
      </w:rPr>
      <w:tcPr>
        <w:shd w:val="clear" w:color="ffffff" w:fill="daeef3" w:themeFill="accent5" w:themeFillTint="34"/>
      </w:tcPr>
    </w:tblStylePr>
    <w:tblStylePr w:type="firstCol">
      <w:rPr>
        <w:sz w:val="22"/>
      </w:rPr>
      <w:tcPr>
        <w:shd w:val="clear" w:color="ffffff" w:fill="4bacc6" w:themeFill="accent5"/>
      </w:tcPr>
    </w:tblStylePr>
    <w:tblStylePr w:type="firstRow">
      <w:rPr>
        <w:sz w:val="22"/>
      </w:rPr>
      <w:tcPr>
        <w:shd w:val="clear" w:color="ffffff" w:fill="4bacc6" w:themeFill="accent5"/>
      </w:tcPr>
    </w:tblStylePr>
    <w:tblStylePr w:type="lastCol">
      <w:rPr>
        <w:sz w:val="22"/>
      </w:rPr>
      <w:tcPr>
        <w:shd w:val="clear" w:color="ffffff" w:fill="4bacc6" w:themeFill="accent5"/>
      </w:tcPr>
    </w:tblStylePr>
    <w:tblStylePr w:type="lastRow">
      <w:rPr>
        <w:sz w:val="22"/>
      </w:rPr>
      <w:tcPr>
        <w:shd w:val="clear" w:color="ffffff" w:fill="4bacc6" w:themeFill="accent5"/>
      </w:tcPr>
    </w:tblStylePr>
  </w:style>
  <w:style w:type="table" w:styleId="937">
    <w:name w:val="Bordered &amp; Lined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de9d8" w:themeFill="accent6" w:themeFillTint="34"/>
      </w:tcPr>
    </w:tblStylePr>
    <w:tblStylePr w:type="band2Vert">
      <w:rPr>
        <w:sz w:val="22"/>
      </w:rPr>
      <w:tcPr>
        <w:shd w:val="clear" w:color="ffffff" w:fill="fde9d8" w:themeFill="accent6" w:themeFillTint="34"/>
      </w:tcPr>
    </w:tblStylePr>
    <w:tblStylePr w:type="firstCol">
      <w:rPr>
        <w:sz w:val="22"/>
      </w:rPr>
      <w:tcPr>
        <w:shd w:val="clear" w:color="ffffff" w:fill="f79646" w:themeFill="accent6"/>
      </w:tcPr>
    </w:tblStylePr>
    <w:tblStylePr w:type="firstRow">
      <w:rPr>
        <w:sz w:val="22"/>
      </w:rPr>
      <w:tcPr>
        <w:shd w:val="clear" w:color="ffffff" w:fill="f79646" w:themeFill="accent6"/>
      </w:tcPr>
    </w:tblStylePr>
    <w:tblStylePr w:type="lastCol">
      <w:rPr>
        <w:sz w:val="22"/>
      </w:rPr>
      <w:tcPr>
        <w:shd w:val="clear" w:color="ffffff" w:fill="f79646" w:themeFill="accent6"/>
      </w:tcPr>
    </w:tblStylePr>
    <w:tblStylePr w:type="lastRow">
      <w:rPr>
        <w:sz w:val="22"/>
      </w:rPr>
      <w:tcPr>
        <w:shd w:val="clear" w:color="ffffff" w:fill="f79646" w:themeFill="accent6"/>
      </w:tcPr>
    </w:tblStylePr>
  </w:style>
  <w:style w:type="table" w:styleId="938">
    <w:name w:val="Bordered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text1" w:sz="12" w:space="0"/>
        </w:tcBorders>
      </w:tcPr>
    </w:tblStylePr>
    <w:tblStylePr w:type="lastCol">
      <w:rPr>
        <w:sz w:val="22"/>
      </w:rPr>
      <w:tcPr>
        <w:tcBorders>
          <w:left w:val="single" w:color="000000" w:themeColor="text1" w:sz="12" w:space="0"/>
        </w:tcBorders>
      </w:tcPr>
    </w:tblStylePr>
    <w:tblStylePr w:type="lastRow">
      <w:rPr>
        <w:sz w:val="22"/>
      </w:rPr>
      <w:tcPr>
        <w:tcBorders>
          <w:top w:val="single" w:color="000000" w:themeColor="text1" w:sz="12" w:space="0"/>
        </w:tcBorders>
      </w:tcPr>
    </w:tblStylePr>
  </w:style>
  <w:style w:type="table" w:styleId="939">
    <w:name w:val="Bordered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sz w:val="22"/>
      </w:r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40">
    <w:name w:val="Bordered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sz w:val="22"/>
      </w:r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accent2" w:sz="12" w:space="0"/>
        </w:tcBorders>
      </w:tcPr>
    </w:tblStylePr>
    <w:tblStylePr w:type="lastCol">
      <w:rPr>
        <w:sz w:val="22"/>
      </w:rPr>
      <w:tcPr>
        <w:tcBorders>
          <w:left w:val="single" w:color="000000" w:themeColor="accent2" w:sz="12" w:space="0"/>
        </w:tcBorders>
      </w:tcPr>
    </w:tblStylePr>
    <w:tblStylePr w:type="lastRow">
      <w:rPr>
        <w:sz w:val="22"/>
      </w:rPr>
      <w:tcPr>
        <w:tcBorders>
          <w:top w:val="single" w:color="000000" w:themeColor="accent2" w:sz="12" w:space="0"/>
        </w:tcBorders>
      </w:tcPr>
    </w:tblStylePr>
  </w:style>
  <w:style w:type="table" w:styleId="941">
    <w:name w:val="Bordered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sz w:val="22"/>
      </w:r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accent3" w:sz="12" w:space="0"/>
        </w:tcBorders>
      </w:tcPr>
    </w:tblStylePr>
    <w:tblStylePr w:type="lastCol">
      <w:rPr>
        <w:sz w:val="22"/>
      </w:rPr>
      <w:tcPr>
        <w:tcBorders>
          <w:left w:val="single" w:color="000000" w:themeColor="accent3" w:sz="12" w:space="0"/>
        </w:tcBorders>
      </w:tcPr>
    </w:tblStylePr>
    <w:tblStylePr w:type="lastRow">
      <w:rPr>
        <w:sz w:val="22"/>
      </w:rPr>
      <w:tcPr>
        <w:tcBorders>
          <w:top w:val="single" w:color="000000" w:themeColor="accent3" w:sz="12" w:space="0"/>
        </w:tcBorders>
      </w:tcPr>
    </w:tblStylePr>
  </w:style>
  <w:style w:type="table" w:styleId="942">
    <w:name w:val="Bordered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sz w:val="22"/>
      </w:r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accent4" w:sz="12" w:space="0"/>
        </w:tcBorders>
      </w:tcPr>
    </w:tblStylePr>
    <w:tblStylePr w:type="lastCol">
      <w:rPr>
        <w:sz w:val="22"/>
      </w:rPr>
      <w:tcPr>
        <w:tcBorders>
          <w:left w:val="single" w:color="000000" w:themeColor="accent4" w:sz="12" w:space="0"/>
        </w:tcBorders>
      </w:tcPr>
    </w:tblStylePr>
    <w:tblStylePr w:type="lastRow">
      <w:rPr>
        <w:sz w:val="22"/>
      </w:rPr>
      <w:tcPr>
        <w:tcBorders>
          <w:top w:val="single" w:color="000000" w:themeColor="accent4" w:sz="12" w:space="0"/>
        </w:tcBorders>
      </w:tcPr>
    </w:tblStylePr>
  </w:style>
  <w:style w:type="table" w:styleId="943">
    <w:name w:val="Bordered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accent5" w:sz="12" w:space="0"/>
        </w:tcBorders>
      </w:tcPr>
    </w:tblStylePr>
    <w:tblStylePr w:type="lastCol">
      <w:rPr>
        <w:sz w:val="22"/>
      </w:rPr>
      <w:tcPr>
        <w:tcBorders>
          <w:left w:val="single" w:color="000000" w:themeColor="accent5" w:sz="12" w:space="0"/>
        </w:tcBorders>
      </w:tcPr>
    </w:tblStylePr>
    <w:tblStylePr w:type="lastRow">
      <w:rPr>
        <w:sz w:val="22"/>
      </w:rPr>
      <w:tcPr>
        <w:tcBorders>
          <w:top w:val="single" w:color="000000" w:themeColor="accent5" w:sz="12" w:space="0"/>
        </w:tcBorders>
      </w:tcPr>
    </w:tblStylePr>
  </w:style>
  <w:style w:type="table" w:styleId="944">
    <w:name w:val="Bordered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accent6" w:sz="12" w:space="0"/>
        </w:tcBorders>
      </w:tcPr>
    </w:tblStylePr>
    <w:tblStylePr w:type="lastCol">
      <w:rPr>
        <w:sz w:val="22"/>
      </w:rPr>
      <w:tcPr>
        <w:tcBorders>
          <w:left w:val="single" w:color="000000" w:themeColor="accent6" w:sz="12" w:space="0"/>
        </w:tcBorders>
      </w:tcPr>
    </w:tblStylePr>
    <w:tblStylePr w:type="lastRow">
      <w:rPr>
        <w:sz w:val="22"/>
      </w:rPr>
      <w:tcPr>
        <w:tcBorders>
          <w:top w:val="single" w:color="000000" w:themeColor="accent6" w:sz="12" w:space="0"/>
        </w:tcBorders>
      </w:tcPr>
    </w:tblStylePr>
  </w:style>
  <w:style w:type="table" w:styleId="945">
    <w:name w:val="Обычная таблица"/>
    <w:uiPriority w:val="99"/>
    <w:semiHidden/>
    <w:unhideWhenUsed/>
    <w:qFormat/>
    <w:tblPr/>
  </w:style>
  <w:style w:type="table" w:styleId="946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header" Target="header3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</a:gradFill>
      </a:fillStyleLst>
      <a:lnStyleLst>
        <a:ln w="9525"/>
        <a:ln w="25400"/>
        <a:ln w="38100"/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nedodel</dc:creator>
  <dc:description/>
  <dc:language>ru-RU</dc:language>
  <cp:lastModifiedBy>kurdamonova_ov</cp:lastModifiedBy>
  <cp:revision>75</cp:revision>
  <dcterms:created xsi:type="dcterms:W3CDTF">2023-07-10T04:47:00Z</dcterms:created>
  <dcterms:modified xsi:type="dcterms:W3CDTF">2026-03-18T05:08:07Z</dcterms:modified>
  <cp:version>1048576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